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33" w:rsidRDefault="00250F33">
      <w:bookmarkStart w:id="0" w:name="_GoBack"/>
      <w:bookmarkEnd w:id="0"/>
    </w:p>
    <w:p w:rsidR="00250F33" w:rsidRDefault="00C05F5C">
      <w:pPr>
        <w:spacing w:line="240" w:lineRule="auto"/>
        <w:jc w:val="right"/>
        <w:rPr>
          <w:rFonts w:ascii="Arial" w:eastAsia="Arial" w:hAnsi="Arial" w:cs="Arial"/>
          <w:b/>
          <w:sz w:val="24"/>
          <w:szCs w:val="24"/>
        </w:rPr>
      </w:pPr>
      <w:r>
        <w:rPr>
          <w:rFonts w:ascii="Arial" w:eastAsia="Arial" w:hAnsi="Arial" w:cs="Arial"/>
          <w:b/>
          <w:sz w:val="24"/>
          <w:szCs w:val="24"/>
        </w:rPr>
        <w:t xml:space="preserve">Eje: </w:t>
      </w:r>
      <w:r w:rsidR="00854FFF">
        <w:rPr>
          <w:rFonts w:ascii="Arial" w:eastAsia="Arial" w:hAnsi="Arial" w:cs="Arial"/>
          <w:b/>
          <w:sz w:val="24"/>
          <w:szCs w:val="24"/>
        </w:rPr>
        <w:t>4</w:t>
      </w:r>
    </w:p>
    <w:p w:rsidR="0082482F" w:rsidRPr="0082482F" w:rsidRDefault="0082482F" w:rsidP="0082482F">
      <w:pPr>
        <w:spacing w:line="360" w:lineRule="auto"/>
        <w:jc w:val="both"/>
        <w:rPr>
          <w:rFonts w:ascii="Arial" w:eastAsia="Arial" w:hAnsi="Arial" w:cs="Arial"/>
          <w:b/>
          <w:sz w:val="24"/>
          <w:szCs w:val="24"/>
        </w:rPr>
      </w:pPr>
      <w:bookmarkStart w:id="1" w:name="bookmark=id.gjdgxs" w:colFirst="0" w:colLast="0"/>
      <w:bookmarkStart w:id="2" w:name="_heading=h.30j0zll" w:colFirst="0" w:colLast="0"/>
      <w:bookmarkEnd w:id="1"/>
      <w:bookmarkEnd w:id="2"/>
      <w:r w:rsidRPr="0082482F">
        <w:rPr>
          <w:rFonts w:ascii="Arial" w:eastAsia="Arial" w:hAnsi="Arial" w:cs="Arial"/>
          <w:b/>
          <w:sz w:val="24"/>
          <w:szCs w:val="24"/>
        </w:rPr>
        <w:t xml:space="preserve">Motivaciones de acceso y participación en propuestas de extensión de la UNRN  </w:t>
      </w:r>
    </w:p>
    <w:p w:rsidR="00250F33" w:rsidRDefault="00250F33">
      <w:pPr>
        <w:pBdr>
          <w:top w:val="nil"/>
          <w:left w:val="nil"/>
          <w:bottom w:val="nil"/>
          <w:right w:val="nil"/>
          <w:between w:val="nil"/>
        </w:pBdr>
        <w:spacing w:after="0" w:line="240" w:lineRule="auto"/>
        <w:ind w:firstLine="709"/>
        <w:jc w:val="center"/>
        <w:rPr>
          <w:rFonts w:ascii="Calibri" w:eastAsia="Calibri" w:hAnsi="Calibri" w:cs="Calibri"/>
          <w:color w:val="000000"/>
        </w:rPr>
      </w:pPr>
    </w:p>
    <w:p w:rsidR="00250F33" w:rsidRDefault="00153DF8" w:rsidP="00153DF8">
      <w:pPr>
        <w:pBdr>
          <w:top w:val="nil"/>
          <w:left w:val="nil"/>
          <w:bottom w:val="nil"/>
          <w:right w:val="nil"/>
          <w:between w:val="nil"/>
        </w:pBdr>
        <w:spacing w:after="0" w:line="240" w:lineRule="auto"/>
        <w:ind w:firstLine="567"/>
        <w:jc w:val="right"/>
        <w:rPr>
          <w:rFonts w:ascii="Arial" w:eastAsia="Arial" w:hAnsi="Arial" w:cs="Arial"/>
          <w:i/>
          <w:color w:val="000000"/>
          <w:sz w:val="20"/>
          <w:szCs w:val="20"/>
        </w:rPr>
      </w:pPr>
      <w:r>
        <w:rPr>
          <w:rFonts w:ascii="Arial" w:eastAsia="Arial" w:hAnsi="Arial" w:cs="Arial"/>
          <w:i/>
          <w:color w:val="000000"/>
          <w:sz w:val="20"/>
          <w:szCs w:val="20"/>
        </w:rPr>
        <w:t xml:space="preserve">Herrera, Georgina; </w:t>
      </w:r>
      <w:proofErr w:type="spellStart"/>
      <w:r>
        <w:rPr>
          <w:rFonts w:ascii="Arial" w:eastAsia="Arial" w:hAnsi="Arial" w:cs="Arial"/>
          <w:i/>
          <w:color w:val="000000"/>
          <w:sz w:val="20"/>
          <w:szCs w:val="20"/>
        </w:rPr>
        <w:t>Balbarrey</w:t>
      </w:r>
      <w:proofErr w:type="spellEnd"/>
      <w:r>
        <w:rPr>
          <w:rFonts w:ascii="Arial" w:eastAsia="Arial" w:hAnsi="Arial" w:cs="Arial"/>
          <w:i/>
          <w:color w:val="000000"/>
          <w:sz w:val="20"/>
          <w:szCs w:val="20"/>
        </w:rPr>
        <w:t xml:space="preserve">, Germán Pablo; Zubillaga, Maria Fany; </w:t>
      </w:r>
      <w:proofErr w:type="spellStart"/>
      <w:r>
        <w:rPr>
          <w:rFonts w:ascii="Arial" w:eastAsia="Arial" w:hAnsi="Arial" w:cs="Arial"/>
          <w:i/>
          <w:color w:val="000000"/>
          <w:sz w:val="20"/>
          <w:szCs w:val="20"/>
        </w:rPr>
        <w:t>Birochio</w:t>
      </w:r>
      <w:proofErr w:type="spellEnd"/>
      <w:r>
        <w:rPr>
          <w:rFonts w:ascii="Arial" w:eastAsia="Arial" w:hAnsi="Arial" w:cs="Arial"/>
          <w:i/>
          <w:color w:val="000000"/>
          <w:sz w:val="20"/>
          <w:szCs w:val="20"/>
        </w:rPr>
        <w:t>, Diego Enrique;</w:t>
      </w:r>
      <w:r w:rsidR="00C05F5C">
        <w:rPr>
          <w:rFonts w:ascii="Arial" w:eastAsia="Arial" w:hAnsi="Arial" w:cs="Arial"/>
          <w:i/>
          <w:color w:val="000000"/>
          <w:sz w:val="20"/>
          <w:szCs w:val="20"/>
        </w:rPr>
        <w:t xml:space="preserve"> </w:t>
      </w:r>
      <w:r>
        <w:rPr>
          <w:rFonts w:ascii="Arial" w:eastAsia="Arial" w:hAnsi="Arial" w:cs="Arial"/>
          <w:i/>
          <w:color w:val="000000"/>
          <w:sz w:val="20"/>
          <w:szCs w:val="20"/>
        </w:rPr>
        <w:t>Figueroa, Ramiro</w:t>
      </w:r>
    </w:p>
    <w:p w:rsidR="00153DF8" w:rsidRDefault="0082482F">
      <w:pPr>
        <w:pBdr>
          <w:top w:val="nil"/>
          <w:left w:val="nil"/>
          <w:bottom w:val="nil"/>
          <w:right w:val="nil"/>
          <w:between w:val="nil"/>
        </w:pBdr>
        <w:spacing w:after="0" w:line="240" w:lineRule="auto"/>
        <w:ind w:firstLine="709"/>
        <w:jc w:val="right"/>
        <w:rPr>
          <w:rFonts w:ascii="Arial" w:eastAsia="Arial" w:hAnsi="Arial" w:cs="Arial"/>
          <w:i/>
          <w:color w:val="000000"/>
          <w:sz w:val="20"/>
          <w:szCs w:val="20"/>
        </w:rPr>
      </w:pPr>
      <w:r>
        <w:rPr>
          <w:rFonts w:ascii="Arial" w:eastAsia="Arial" w:hAnsi="Arial" w:cs="Arial"/>
          <w:i/>
          <w:color w:val="000000"/>
          <w:sz w:val="20"/>
          <w:szCs w:val="20"/>
        </w:rPr>
        <w:t xml:space="preserve">Universidad Nacional de Río Negro – Sede </w:t>
      </w:r>
      <w:r w:rsidR="00153DF8">
        <w:rPr>
          <w:rFonts w:ascii="Arial" w:eastAsia="Arial" w:hAnsi="Arial" w:cs="Arial"/>
          <w:i/>
          <w:color w:val="000000"/>
          <w:sz w:val="20"/>
          <w:szCs w:val="20"/>
        </w:rPr>
        <w:t>Atlántica</w:t>
      </w:r>
    </w:p>
    <w:p w:rsidR="0082482F" w:rsidRDefault="009E5B14" w:rsidP="00A15D8B">
      <w:pPr>
        <w:pBdr>
          <w:top w:val="nil"/>
          <w:left w:val="nil"/>
          <w:bottom w:val="nil"/>
          <w:right w:val="nil"/>
          <w:between w:val="nil"/>
        </w:pBdr>
        <w:spacing w:after="0" w:line="240" w:lineRule="auto"/>
        <w:ind w:left="851" w:firstLine="1276"/>
        <w:jc w:val="both"/>
        <w:rPr>
          <w:rFonts w:ascii="Arial" w:eastAsia="Arial" w:hAnsi="Arial" w:cs="Arial"/>
          <w:b/>
          <w:color w:val="000000"/>
          <w:sz w:val="24"/>
          <w:szCs w:val="24"/>
        </w:rPr>
      </w:pPr>
      <w:hyperlink r:id="rId7" w:history="1">
        <w:r w:rsidR="00153DF8" w:rsidRPr="00F23350">
          <w:rPr>
            <w:rStyle w:val="Hipervnculo"/>
            <w:rFonts w:ascii="Arial" w:eastAsia="Arial" w:hAnsi="Arial" w:cs="Arial"/>
            <w:i/>
            <w:sz w:val="20"/>
            <w:szCs w:val="20"/>
          </w:rPr>
          <w:t>gherrera@unrn.edu.ar</w:t>
        </w:r>
      </w:hyperlink>
      <w:r w:rsidR="00153DF8">
        <w:rPr>
          <w:rFonts w:ascii="Arial" w:eastAsia="Arial" w:hAnsi="Arial" w:cs="Arial"/>
          <w:i/>
          <w:color w:val="000000"/>
          <w:sz w:val="20"/>
          <w:szCs w:val="20"/>
        </w:rPr>
        <w:t xml:space="preserve">; </w:t>
      </w:r>
      <w:hyperlink r:id="rId8" w:history="1">
        <w:r w:rsidR="00153DF8" w:rsidRPr="00F23350">
          <w:rPr>
            <w:rStyle w:val="Hipervnculo"/>
            <w:rFonts w:ascii="Arial" w:eastAsia="Arial" w:hAnsi="Arial" w:cs="Arial"/>
            <w:i/>
            <w:sz w:val="20"/>
            <w:szCs w:val="20"/>
          </w:rPr>
          <w:t>gbalbarrey@unrn.edu.ar</w:t>
        </w:r>
      </w:hyperlink>
      <w:r w:rsidR="00153DF8">
        <w:rPr>
          <w:rFonts w:ascii="Arial" w:eastAsia="Arial" w:hAnsi="Arial" w:cs="Arial"/>
          <w:i/>
          <w:color w:val="000000"/>
          <w:sz w:val="20"/>
          <w:szCs w:val="20"/>
        </w:rPr>
        <w:t xml:space="preserve">; </w:t>
      </w:r>
      <w:hyperlink r:id="rId9" w:history="1">
        <w:r w:rsidR="00153DF8" w:rsidRPr="00F23350">
          <w:rPr>
            <w:rStyle w:val="Hipervnculo"/>
            <w:rFonts w:ascii="Arial" w:eastAsia="Arial" w:hAnsi="Arial" w:cs="Arial"/>
            <w:i/>
            <w:sz w:val="20"/>
            <w:szCs w:val="20"/>
          </w:rPr>
          <w:t>mzubillaga@unrn.edu.ar</w:t>
        </w:r>
      </w:hyperlink>
      <w:r w:rsidR="00153DF8">
        <w:rPr>
          <w:rFonts w:ascii="Arial" w:eastAsia="Arial" w:hAnsi="Arial" w:cs="Arial"/>
          <w:i/>
          <w:color w:val="000000"/>
          <w:sz w:val="20"/>
          <w:szCs w:val="20"/>
        </w:rPr>
        <w:t xml:space="preserve">; </w:t>
      </w:r>
      <w:hyperlink r:id="rId10" w:history="1">
        <w:r w:rsidR="00153DF8" w:rsidRPr="00F23350">
          <w:rPr>
            <w:rStyle w:val="Hipervnculo"/>
            <w:rFonts w:ascii="Arial" w:eastAsia="Arial" w:hAnsi="Arial" w:cs="Arial"/>
            <w:i/>
            <w:sz w:val="20"/>
            <w:szCs w:val="20"/>
          </w:rPr>
          <w:t>dbirochio@unrn.edu.ar</w:t>
        </w:r>
      </w:hyperlink>
      <w:r w:rsidR="00153DF8">
        <w:rPr>
          <w:rFonts w:ascii="Arial" w:eastAsia="Arial" w:hAnsi="Arial" w:cs="Arial"/>
          <w:i/>
          <w:color w:val="000000"/>
          <w:sz w:val="20"/>
          <w:szCs w:val="20"/>
        </w:rPr>
        <w:t xml:space="preserve">; </w:t>
      </w:r>
      <w:hyperlink r:id="rId11" w:history="1">
        <w:r w:rsidR="00A15D8B" w:rsidRPr="00F23350">
          <w:rPr>
            <w:rStyle w:val="Hipervnculo"/>
            <w:rFonts w:ascii="Arial" w:eastAsia="Arial" w:hAnsi="Arial" w:cs="Arial"/>
            <w:i/>
            <w:sz w:val="20"/>
            <w:szCs w:val="20"/>
          </w:rPr>
          <w:t>rfigueroa@unrn.edu.ar</w:t>
        </w:r>
      </w:hyperlink>
      <w:r w:rsidR="00A15D8B">
        <w:rPr>
          <w:rFonts w:ascii="Arial" w:eastAsia="Arial" w:hAnsi="Arial" w:cs="Arial"/>
          <w:i/>
          <w:color w:val="000000"/>
          <w:sz w:val="20"/>
          <w:szCs w:val="20"/>
        </w:rPr>
        <w:t xml:space="preserve"> </w:t>
      </w:r>
    </w:p>
    <w:p w:rsidR="00250F33" w:rsidRDefault="00C05F5C" w:rsidP="0082482F">
      <w:p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b/>
          <w:color w:val="000000"/>
          <w:sz w:val="24"/>
          <w:szCs w:val="24"/>
        </w:rPr>
        <w:t>Palabras o frases clave</w:t>
      </w:r>
      <w:r>
        <w:rPr>
          <w:rFonts w:ascii="Arial" w:eastAsia="Arial" w:hAnsi="Arial" w:cs="Arial"/>
          <w:color w:val="000000"/>
          <w:sz w:val="24"/>
          <w:szCs w:val="24"/>
        </w:rPr>
        <w:t xml:space="preserve">: </w:t>
      </w:r>
      <w:r w:rsidR="0082482F">
        <w:rPr>
          <w:rFonts w:ascii="Arial" w:eastAsia="Arial" w:hAnsi="Arial" w:cs="Arial"/>
          <w:color w:val="000000"/>
          <w:sz w:val="24"/>
          <w:szCs w:val="24"/>
        </w:rPr>
        <w:t>Practica de trabajo social, motivaciones de participación, formación por competencias.</w:t>
      </w:r>
    </w:p>
    <w:p w:rsidR="0082482F" w:rsidRPr="0082482F" w:rsidRDefault="0082482F" w:rsidP="0082482F">
      <w:pPr>
        <w:pBdr>
          <w:top w:val="nil"/>
          <w:left w:val="nil"/>
          <w:bottom w:val="nil"/>
          <w:right w:val="nil"/>
          <w:between w:val="nil"/>
        </w:pBdr>
        <w:spacing w:before="120" w:after="120" w:line="240" w:lineRule="auto"/>
        <w:jc w:val="both"/>
        <w:rPr>
          <w:rFonts w:ascii="Arial" w:eastAsia="Arial" w:hAnsi="Arial" w:cs="Arial"/>
          <w:b/>
          <w:color w:val="000000"/>
          <w:sz w:val="24"/>
          <w:szCs w:val="24"/>
        </w:rPr>
      </w:pPr>
      <w:r w:rsidRPr="0082482F">
        <w:rPr>
          <w:rFonts w:ascii="Arial" w:eastAsia="Arial" w:hAnsi="Arial" w:cs="Arial"/>
          <w:b/>
          <w:color w:val="000000"/>
          <w:sz w:val="24"/>
          <w:szCs w:val="24"/>
        </w:rPr>
        <w:t>Cuerpo del trabajo</w:t>
      </w:r>
    </w:p>
    <w:p w:rsidR="0082482F" w:rsidRPr="009951D1" w:rsidRDefault="0082482F" w:rsidP="0082482F">
      <w:pPr>
        <w:spacing w:before="120" w:after="120" w:line="240" w:lineRule="auto"/>
        <w:ind w:firstLine="708"/>
        <w:jc w:val="both"/>
        <w:rPr>
          <w:rFonts w:ascii="Arial" w:eastAsia="Arial" w:hAnsi="Arial" w:cs="Arial"/>
          <w:sz w:val="24"/>
          <w:szCs w:val="24"/>
        </w:rPr>
      </w:pPr>
      <w:r w:rsidRPr="009951D1">
        <w:rPr>
          <w:rFonts w:ascii="Arial" w:eastAsia="Arial" w:hAnsi="Arial" w:cs="Arial"/>
          <w:sz w:val="24"/>
          <w:szCs w:val="24"/>
        </w:rPr>
        <w:t xml:space="preserve">La dinamización de procesos de desarrollo como instrumentos formativos facilita la función social de las universidades, jerarquizando la extensión y permitiendo la vinculación de propuestas de docencia e investigación en el territorio. </w:t>
      </w:r>
    </w:p>
    <w:p w:rsidR="0082482F" w:rsidRPr="009951D1" w:rsidRDefault="0082482F" w:rsidP="0082482F">
      <w:pPr>
        <w:spacing w:before="120" w:after="120" w:line="240" w:lineRule="auto"/>
        <w:ind w:firstLine="708"/>
        <w:jc w:val="both"/>
        <w:rPr>
          <w:rFonts w:ascii="Arial" w:eastAsia="Arial" w:hAnsi="Arial" w:cs="Arial"/>
          <w:sz w:val="24"/>
          <w:szCs w:val="24"/>
        </w:rPr>
      </w:pPr>
      <w:r w:rsidRPr="009951D1">
        <w:rPr>
          <w:rFonts w:ascii="Arial" w:eastAsia="Arial" w:hAnsi="Arial" w:cs="Arial"/>
          <w:sz w:val="24"/>
          <w:szCs w:val="24"/>
        </w:rPr>
        <w:t>Pese a la gradualidad con la que se trabaja sobre la inclusión curricular de la extensión, existen consensos sobre los beneficios a nivel académico en las carreras de grado. Surgida de la experiencia de asistencia y dirección de propuestas de extensión en la UNRN, se sistematiza información sobre motivación y percepciones de los estudiantes, se reflexiona sobre condicionamientos institucionales y los múltiples desafíos que afectan la funcionalidad, sostenibilidad y en alguna medida el éxito de las prácticas y proyectos.</w:t>
      </w:r>
    </w:p>
    <w:p w:rsidR="0082482F" w:rsidRPr="009951D1" w:rsidRDefault="0082482F" w:rsidP="0082482F">
      <w:pPr>
        <w:spacing w:before="120" w:after="120" w:line="240" w:lineRule="auto"/>
        <w:ind w:firstLine="720"/>
        <w:jc w:val="both"/>
        <w:rPr>
          <w:rFonts w:ascii="Arial" w:eastAsia="Arial" w:hAnsi="Arial" w:cs="Arial"/>
          <w:sz w:val="24"/>
          <w:szCs w:val="24"/>
        </w:rPr>
      </w:pPr>
      <w:r w:rsidRPr="009951D1">
        <w:rPr>
          <w:rFonts w:ascii="Arial" w:eastAsia="Arial" w:hAnsi="Arial" w:cs="Arial"/>
          <w:sz w:val="24"/>
          <w:szCs w:val="24"/>
        </w:rPr>
        <w:t>En este sentido, la participación en el ámbito formal de las universidades plantea un desafío para los alumnos y docentes que integran las propuestas, debido al cambio de hábitos en las prácticas de enseñanza. Estos espacios sólo son accesibles bajo dinámicas de trabajo que permitan un encuentro en la práctica donde sea factible romper con visiones constructivas del aula y se rescate la capacidad del sujeto desde una posición crítica reflexiva.</w:t>
      </w:r>
    </w:p>
    <w:p w:rsidR="0082482F" w:rsidRPr="009951D1" w:rsidRDefault="0082482F" w:rsidP="0082482F">
      <w:pPr>
        <w:spacing w:before="120" w:after="120" w:line="240" w:lineRule="auto"/>
        <w:ind w:firstLine="708"/>
        <w:jc w:val="both"/>
        <w:rPr>
          <w:rFonts w:ascii="Arial" w:eastAsia="Arial" w:hAnsi="Arial" w:cs="Arial"/>
          <w:sz w:val="24"/>
          <w:szCs w:val="24"/>
        </w:rPr>
      </w:pPr>
      <w:r w:rsidRPr="009951D1">
        <w:rPr>
          <w:rFonts w:ascii="Arial" w:eastAsia="Arial" w:hAnsi="Arial" w:cs="Arial"/>
          <w:sz w:val="24"/>
          <w:szCs w:val="24"/>
        </w:rPr>
        <w:t>Por esta razón las propuestas de extensión, son a la vez espacios educativos donde aparecen metodologías de aprendizaje activo, facilitando la formación por competencias y permitiendo la integración de saberes, a la vez que involucran al alumnado en procesos de aprendizaje multidisciplinar.</w:t>
      </w:r>
    </w:p>
    <w:p w:rsidR="0082482F" w:rsidRPr="009951D1" w:rsidRDefault="0082482F" w:rsidP="0082482F">
      <w:pPr>
        <w:spacing w:before="120" w:after="120" w:line="240" w:lineRule="auto"/>
        <w:ind w:firstLine="708"/>
        <w:jc w:val="both"/>
        <w:rPr>
          <w:rFonts w:ascii="Arial" w:eastAsia="Arial" w:hAnsi="Arial" w:cs="Arial"/>
          <w:sz w:val="24"/>
          <w:szCs w:val="24"/>
        </w:rPr>
      </w:pPr>
      <w:r w:rsidRPr="009951D1">
        <w:rPr>
          <w:rFonts w:ascii="Arial" w:eastAsia="Arial" w:hAnsi="Arial" w:cs="Arial"/>
          <w:sz w:val="24"/>
          <w:szCs w:val="24"/>
        </w:rPr>
        <w:t xml:space="preserve">La UNRN desde su Estatuto propone a la extensión universitaria integrada a la formación desde el perfil de las carreras y especialmente a través de los Programas de Trabajo Social (PTS), establecidos como requisito de egreso en carreras de grado </w:t>
      </w:r>
      <w:r w:rsidRPr="009951D1">
        <w:rPr>
          <w:rFonts w:ascii="Arial" w:eastAsia="Arial" w:hAnsi="Arial" w:cs="Arial"/>
          <w:sz w:val="24"/>
          <w:szCs w:val="24"/>
        </w:rPr>
        <w:lastRenderedPageBreak/>
        <w:t>que implican la realización de una actividad de servicio a una comunidad íntimamente relacionada con su formación. Sí bien la participación se acota a quien han aprobado al menos el 30 % de las asignaturas, en la mayoría de los casos quienes participan son estudiantes en fase de egreso próximos a recibir su título.</w:t>
      </w:r>
    </w:p>
    <w:p w:rsidR="0082482F" w:rsidRPr="009951D1" w:rsidRDefault="0082482F" w:rsidP="0082482F">
      <w:pPr>
        <w:spacing w:before="120" w:after="120" w:line="240" w:lineRule="auto"/>
        <w:ind w:firstLine="708"/>
        <w:jc w:val="both"/>
        <w:rPr>
          <w:rFonts w:ascii="Arial" w:eastAsia="Arial" w:hAnsi="Arial" w:cs="Arial"/>
          <w:sz w:val="24"/>
          <w:szCs w:val="24"/>
        </w:rPr>
      </w:pPr>
      <w:r w:rsidRPr="009951D1">
        <w:rPr>
          <w:rFonts w:ascii="Arial" w:eastAsia="Arial" w:hAnsi="Arial" w:cs="Arial"/>
          <w:sz w:val="24"/>
          <w:szCs w:val="24"/>
        </w:rPr>
        <w:t>Con respecto a los proyectos de extensión, aquí la situación es otra. Se observa que la participación de estudiantes se da desde los primeros años, aunque no de forma masiva. Las motivaciones son diversas y no excluyentes destacándose  la posición del proyecto respecto a ámbito de dominio, el tipo de participación que permite (más abierta y libre o por el contrario restringidas por perfiles específicos), el grado de estructuración de la práctica, las orientaciones vocacionales del alumnado y finalmente el aporte a los regímenes formales de horas para el cumplimiento de la PTS</w:t>
      </w:r>
      <w:r>
        <w:rPr>
          <w:rFonts w:ascii="Arial" w:eastAsia="Arial" w:hAnsi="Arial" w:cs="Arial"/>
          <w:sz w:val="24"/>
          <w:szCs w:val="24"/>
        </w:rPr>
        <w:t>.</w:t>
      </w:r>
    </w:p>
    <w:p w:rsidR="0082482F" w:rsidRDefault="0082482F" w:rsidP="0082482F">
      <w:pPr>
        <w:spacing w:before="120" w:after="120" w:line="240" w:lineRule="auto"/>
        <w:ind w:firstLine="720"/>
        <w:jc w:val="both"/>
        <w:rPr>
          <w:rFonts w:ascii="Arial" w:eastAsia="Arial" w:hAnsi="Arial" w:cs="Arial"/>
          <w:sz w:val="24"/>
          <w:szCs w:val="24"/>
        </w:rPr>
      </w:pPr>
      <w:r w:rsidRPr="009951D1">
        <w:rPr>
          <w:rFonts w:ascii="Arial" w:eastAsia="Arial" w:hAnsi="Arial" w:cs="Arial"/>
          <w:sz w:val="24"/>
          <w:szCs w:val="24"/>
        </w:rPr>
        <w:t>Si bien a lo largo de los diez primeros años de la UNRN se ha logrado problematizar la extensión y debatir sobre este concepto y su implicancia, aún queda mucho camino para lograr jerarquizarla e integrarla realmente a los procesos de enseñanza. Esto se relaciona íntimamente con la necesidad de reconocer la función extensionista en la docencia y también con generar más acciones que fortalezcan la participación de los y las estudiantes en estas experiencias, reconociéndolas como parte del acto educativo en sí mismo.</w:t>
      </w:r>
      <w:r>
        <w:rPr>
          <w:rFonts w:ascii="Arial" w:eastAsia="Arial" w:hAnsi="Arial" w:cs="Arial"/>
          <w:sz w:val="24"/>
          <w:szCs w:val="24"/>
        </w:rPr>
        <w:t xml:space="preserve"> </w:t>
      </w:r>
    </w:p>
    <w:p w:rsidR="00153DF8" w:rsidRDefault="00153DF8" w:rsidP="00153DF8">
      <w:p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b/>
          <w:color w:val="000000"/>
          <w:sz w:val="24"/>
          <w:szCs w:val="24"/>
        </w:rPr>
        <w:t>Referencias</w:t>
      </w:r>
    </w:p>
    <w:p w:rsidR="00153DF8" w:rsidRPr="00153DF8" w:rsidRDefault="00153DF8" w:rsidP="00225832">
      <w:pPr>
        <w:autoSpaceDE w:val="0"/>
        <w:autoSpaceDN w:val="0"/>
        <w:adjustRightInd w:val="0"/>
        <w:spacing w:before="120" w:after="120" w:line="240" w:lineRule="auto"/>
        <w:ind w:left="284" w:hanging="284"/>
        <w:jc w:val="both"/>
        <w:rPr>
          <w:rFonts w:ascii="Arial" w:eastAsia="Arial" w:hAnsi="Arial" w:cs="Arial"/>
          <w:sz w:val="24"/>
          <w:szCs w:val="24"/>
        </w:rPr>
      </w:pPr>
      <w:r w:rsidRPr="00153DF8">
        <w:rPr>
          <w:rFonts w:ascii="Arial" w:eastAsia="Arial" w:hAnsi="Arial" w:cs="Arial"/>
          <w:sz w:val="24"/>
          <w:szCs w:val="24"/>
        </w:rPr>
        <w:t xml:space="preserve">Contreras, P.P.; </w:t>
      </w:r>
      <w:proofErr w:type="spellStart"/>
      <w:r w:rsidRPr="00153DF8">
        <w:rPr>
          <w:rFonts w:ascii="Arial" w:eastAsia="Arial" w:hAnsi="Arial" w:cs="Arial"/>
          <w:sz w:val="24"/>
          <w:szCs w:val="24"/>
        </w:rPr>
        <w:t>Nuñez</w:t>
      </w:r>
      <w:proofErr w:type="spellEnd"/>
      <w:r w:rsidRPr="00153DF8">
        <w:rPr>
          <w:rFonts w:ascii="Arial" w:eastAsia="Arial" w:hAnsi="Arial" w:cs="Arial"/>
          <w:sz w:val="24"/>
          <w:szCs w:val="24"/>
        </w:rPr>
        <w:t xml:space="preserve">, N.N. y Vázquez, M.A. (2014). Formación universitaria basada en competencias. Flumen 7(1): 3-13 (2014). Revista de la Universidad Católica Santo Toribio de </w:t>
      </w:r>
      <w:proofErr w:type="spellStart"/>
      <w:r w:rsidRPr="00153DF8">
        <w:rPr>
          <w:rFonts w:ascii="Arial" w:eastAsia="Arial" w:hAnsi="Arial" w:cs="Arial"/>
          <w:sz w:val="24"/>
          <w:szCs w:val="24"/>
        </w:rPr>
        <w:t>Mogrovejo</w:t>
      </w:r>
      <w:proofErr w:type="spellEnd"/>
      <w:r w:rsidRPr="00153DF8">
        <w:rPr>
          <w:rFonts w:ascii="Arial" w:eastAsia="Arial" w:hAnsi="Arial" w:cs="Arial"/>
          <w:sz w:val="24"/>
          <w:szCs w:val="24"/>
        </w:rPr>
        <w:t xml:space="preserve"> Chiclayo – Perú.</w:t>
      </w:r>
    </w:p>
    <w:p w:rsidR="00153DF8" w:rsidRPr="00153DF8" w:rsidRDefault="00153DF8" w:rsidP="00225832">
      <w:pPr>
        <w:autoSpaceDE w:val="0"/>
        <w:autoSpaceDN w:val="0"/>
        <w:adjustRightInd w:val="0"/>
        <w:spacing w:before="120" w:after="120" w:line="240" w:lineRule="auto"/>
        <w:ind w:left="284" w:hanging="284"/>
        <w:jc w:val="both"/>
        <w:rPr>
          <w:rFonts w:ascii="Arial" w:eastAsia="Arial" w:hAnsi="Arial" w:cs="Arial"/>
          <w:sz w:val="24"/>
          <w:szCs w:val="24"/>
        </w:rPr>
      </w:pPr>
      <w:r w:rsidRPr="00153DF8">
        <w:rPr>
          <w:rFonts w:ascii="Arial" w:eastAsia="Arial" w:hAnsi="Arial" w:cs="Arial"/>
          <w:sz w:val="24"/>
          <w:szCs w:val="24"/>
        </w:rPr>
        <w:t xml:space="preserve">De </w:t>
      </w:r>
      <w:proofErr w:type="spellStart"/>
      <w:r w:rsidRPr="00153DF8">
        <w:rPr>
          <w:rFonts w:ascii="Arial" w:eastAsia="Arial" w:hAnsi="Arial" w:cs="Arial"/>
          <w:sz w:val="24"/>
          <w:szCs w:val="24"/>
        </w:rPr>
        <w:t>Vincenzi</w:t>
      </w:r>
      <w:proofErr w:type="spellEnd"/>
      <w:r w:rsidRPr="00153DF8">
        <w:rPr>
          <w:rFonts w:ascii="Arial" w:eastAsia="Arial" w:hAnsi="Arial" w:cs="Arial"/>
          <w:sz w:val="24"/>
          <w:szCs w:val="24"/>
        </w:rPr>
        <w:t>, A. (2012). La formación pedagógica del profesor universitario. Un desafío para la reflexión y revisión de la práctica docente en el nivel superior. Aula, 18, 111-122. https://doi.org/10.14201/8875</w:t>
      </w:r>
    </w:p>
    <w:p w:rsidR="00153DF8" w:rsidRPr="00153DF8" w:rsidRDefault="00153DF8" w:rsidP="00225832">
      <w:pPr>
        <w:autoSpaceDE w:val="0"/>
        <w:autoSpaceDN w:val="0"/>
        <w:adjustRightInd w:val="0"/>
        <w:spacing w:before="120" w:after="120" w:line="240" w:lineRule="auto"/>
        <w:ind w:left="284" w:hanging="284"/>
        <w:jc w:val="both"/>
        <w:rPr>
          <w:rFonts w:ascii="Arial" w:eastAsia="Arial" w:hAnsi="Arial" w:cs="Arial"/>
          <w:sz w:val="24"/>
          <w:szCs w:val="24"/>
        </w:rPr>
      </w:pPr>
      <w:r w:rsidRPr="00153DF8">
        <w:rPr>
          <w:rFonts w:ascii="Arial" w:eastAsia="Arial" w:hAnsi="Arial" w:cs="Arial"/>
          <w:sz w:val="24"/>
          <w:szCs w:val="24"/>
        </w:rPr>
        <w:t xml:space="preserve">Díaz Barriga, A. (2005). El profesor de educación superior frente a las demandas de los nuevos debates educativos. Perfiles educativos vol.27 no.108. México </w:t>
      </w:r>
    </w:p>
    <w:p w:rsidR="00153DF8" w:rsidRPr="00153DF8" w:rsidRDefault="00153DF8" w:rsidP="00225832">
      <w:pPr>
        <w:autoSpaceDE w:val="0"/>
        <w:autoSpaceDN w:val="0"/>
        <w:adjustRightInd w:val="0"/>
        <w:spacing w:before="120" w:after="120" w:line="240" w:lineRule="auto"/>
        <w:ind w:left="284" w:hanging="284"/>
        <w:jc w:val="both"/>
        <w:rPr>
          <w:rFonts w:ascii="Arial" w:eastAsia="Arial" w:hAnsi="Arial" w:cs="Arial"/>
          <w:sz w:val="24"/>
          <w:szCs w:val="24"/>
        </w:rPr>
      </w:pPr>
      <w:r w:rsidRPr="00153DF8">
        <w:rPr>
          <w:rFonts w:ascii="Arial" w:eastAsia="Arial" w:hAnsi="Arial" w:cs="Arial"/>
          <w:sz w:val="24"/>
          <w:szCs w:val="24"/>
        </w:rPr>
        <w:t xml:space="preserve">Ortiz Carrión, M. del R. (2011). Prácticas Docentes Universitarias y la Construcción de Contextos para el aprendizaje Revista Electrónica Nova </w:t>
      </w:r>
      <w:proofErr w:type="spellStart"/>
      <w:r w:rsidRPr="00153DF8">
        <w:rPr>
          <w:rFonts w:ascii="Arial" w:eastAsia="Arial" w:hAnsi="Arial" w:cs="Arial"/>
          <w:sz w:val="24"/>
          <w:szCs w:val="24"/>
        </w:rPr>
        <w:t>Scientia</w:t>
      </w:r>
      <w:proofErr w:type="spellEnd"/>
      <w:r w:rsidRPr="00153DF8">
        <w:rPr>
          <w:rFonts w:ascii="Arial" w:eastAsia="Arial" w:hAnsi="Arial" w:cs="Arial"/>
          <w:sz w:val="24"/>
          <w:szCs w:val="24"/>
        </w:rPr>
        <w:t xml:space="preserve">, Nº 7 Vol. 4 (1), 2011. ISSN 2007 - 0705. </w:t>
      </w:r>
      <w:proofErr w:type="spellStart"/>
      <w:proofErr w:type="gramStart"/>
      <w:r w:rsidRPr="00153DF8">
        <w:rPr>
          <w:rFonts w:ascii="Arial" w:eastAsia="Arial" w:hAnsi="Arial" w:cs="Arial"/>
          <w:sz w:val="24"/>
          <w:szCs w:val="24"/>
        </w:rPr>
        <w:t>pp</w:t>
      </w:r>
      <w:proofErr w:type="spellEnd"/>
      <w:proofErr w:type="gramEnd"/>
      <w:r w:rsidRPr="00153DF8">
        <w:rPr>
          <w:rFonts w:ascii="Arial" w:eastAsia="Arial" w:hAnsi="Arial" w:cs="Arial"/>
          <w:sz w:val="24"/>
          <w:szCs w:val="24"/>
        </w:rPr>
        <w:t xml:space="preserve">: 237 - 256 - 238 </w:t>
      </w:r>
    </w:p>
    <w:p w:rsidR="0082482F" w:rsidRDefault="0082482F" w:rsidP="0082482F">
      <w:pPr>
        <w:spacing w:before="120" w:after="120" w:line="240" w:lineRule="auto"/>
        <w:ind w:firstLine="720"/>
        <w:jc w:val="both"/>
        <w:rPr>
          <w:rFonts w:ascii="Arial" w:eastAsia="Arial" w:hAnsi="Arial" w:cs="Arial"/>
          <w:sz w:val="24"/>
          <w:szCs w:val="24"/>
        </w:rPr>
      </w:pPr>
    </w:p>
    <w:p w:rsidR="00250F33" w:rsidRDefault="00250F33" w:rsidP="0082482F">
      <w:pPr>
        <w:pBdr>
          <w:top w:val="nil"/>
          <w:left w:val="nil"/>
          <w:bottom w:val="nil"/>
          <w:right w:val="nil"/>
          <w:between w:val="nil"/>
        </w:pBdr>
        <w:spacing w:before="120" w:after="120" w:line="240" w:lineRule="auto"/>
        <w:jc w:val="both"/>
        <w:rPr>
          <w:rFonts w:ascii="Calibri" w:eastAsia="Calibri" w:hAnsi="Calibri" w:cs="Calibri"/>
          <w:color w:val="000000"/>
        </w:rPr>
      </w:pPr>
    </w:p>
    <w:p w:rsidR="0082482F" w:rsidRDefault="0082482F" w:rsidP="0082482F">
      <w:pPr>
        <w:pBdr>
          <w:top w:val="nil"/>
          <w:left w:val="nil"/>
          <w:bottom w:val="nil"/>
          <w:right w:val="nil"/>
          <w:between w:val="nil"/>
        </w:pBdr>
        <w:spacing w:before="120" w:after="120" w:line="240" w:lineRule="auto"/>
        <w:jc w:val="both"/>
        <w:rPr>
          <w:rFonts w:ascii="Arial" w:eastAsia="Arial" w:hAnsi="Arial" w:cs="Arial"/>
          <w:b/>
          <w:color w:val="000000"/>
          <w:sz w:val="24"/>
          <w:szCs w:val="24"/>
        </w:rPr>
      </w:pPr>
    </w:p>
    <w:p w:rsidR="00250F33" w:rsidRDefault="00250F33" w:rsidP="0082482F">
      <w:pPr>
        <w:pBdr>
          <w:top w:val="nil"/>
          <w:left w:val="nil"/>
          <w:bottom w:val="nil"/>
          <w:right w:val="nil"/>
          <w:between w:val="nil"/>
        </w:pBdr>
        <w:spacing w:before="120" w:after="120" w:line="240" w:lineRule="auto"/>
        <w:jc w:val="both"/>
        <w:rPr>
          <w:rFonts w:ascii="Arial" w:eastAsia="Arial" w:hAnsi="Arial" w:cs="Arial"/>
          <w:color w:val="000000"/>
          <w:sz w:val="24"/>
          <w:szCs w:val="24"/>
        </w:rPr>
      </w:pPr>
    </w:p>
    <w:p w:rsidR="00250F33" w:rsidRDefault="00250F33">
      <w:pPr>
        <w:pBdr>
          <w:top w:val="nil"/>
          <w:left w:val="nil"/>
          <w:bottom w:val="nil"/>
          <w:right w:val="nil"/>
          <w:between w:val="nil"/>
        </w:pBdr>
        <w:spacing w:after="0" w:line="240" w:lineRule="auto"/>
        <w:jc w:val="both"/>
        <w:rPr>
          <w:rFonts w:ascii="Calibri" w:eastAsia="Calibri" w:hAnsi="Calibri" w:cs="Calibri"/>
          <w:color w:val="000000"/>
        </w:rPr>
      </w:pPr>
    </w:p>
    <w:sectPr w:rsidR="00250F33">
      <w:headerReference w:type="even" r:id="rId12"/>
      <w:headerReference w:type="default" r:id="rId13"/>
      <w:footerReference w:type="even" r:id="rId14"/>
      <w:footerReference w:type="default" r:id="rId15"/>
      <w:headerReference w:type="first" r:id="rId16"/>
      <w:footerReference w:type="first" r:id="rId17"/>
      <w:pgSz w:w="11906" w:h="16838"/>
      <w:pgMar w:top="4110" w:right="1417" w:bottom="1559" w:left="1417" w:header="1417" w:footer="141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B14" w:rsidRDefault="009E5B14">
      <w:pPr>
        <w:spacing w:after="0" w:line="240" w:lineRule="auto"/>
      </w:pPr>
      <w:r>
        <w:separator/>
      </w:r>
    </w:p>
  </w:endnote>
  <w:endnote w:type="continuationSeparator" w:id="0">
    <w:p w:rsidR="009E5B14" w:rsidRDefault="009E5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3" w:rsidRDefault="00250F33">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3" w:rsidRDefault="00250F33">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3" w:rsidRDefault="00250F33">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B14" w:rsidRDefault="009E5B14">
      <w:pPr>
        <w:spacing w:after="0" w:line="240" w:lineRule="auto"/>
      </w:pPr>
      <w:r>
        <w:separator/>
      </w:r>
    </w:p>
  </w:footnote>
  <w:footnote w:type="continuationSeparator" w:id="0">
    <w:p w:rsidR="009E5B14" w:rsidRDefault="009E5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3" w:rsidRDefault="00C05F5C">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r>
      <w:rPr>
        <w:rFonts w:ascii="Calibri" w:eastAsia="Calibri" w:hAnsi="Calibri" w:cs="Calibri"/>
        <w:noProof/>
        <w:color w:val="000000"/>
        <w:lang w:val="es-AR" w:eastAsia="es-AR"/>
      </w:rPr>
      <w:drawing>
        <wp:anchor distT="0" distB="0" distL="0" distR="0" simplePos="0" relativeHeight="251666432" behindDoc="1" locked="0" layoutInCell="1" hidden="0" allowOverlap="1">
          <wp:simplePos x="0" y="0"/>
          <wp:positionH relativeFrom="margin">
            <wp:align>center</wp:align>
          </wp:positionH>
          <wp:positionV relativeFrom="margin">
            <wp:align>center</wp:align>
          </wp:positionV>
          <wp:extent cx="8421480" cy="11621880"/>
          <wp:effectExtent l="0" t="0" r="0" b="0"/>
          <wp:wrapNone/>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421480" cy="1162188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3" w:rsidRDefault="00C05F5C">
    <w:pPr>
      <w:pBdr>
        <w:top w:val="nil"/>
        <w:left w:val="nil"/>
        <w:bottom w:val="nil"/>
        <w:right w:val="nil"/>
        <w:between w:val="nil"/>
      </w:pBdr>
      <w:tabs>
        <w:tab w:val="center" w:pos="4252"/>
        <w:tab w:val="right" w:pos="8504"/>
        <w:tab w:val="right" w:pos="8504"/>
      </w:tabs>
      <w:spacing w:after="0" w:line="240" w:lineRule="auto"/>
      <w:ind w:left="2127"/>
      <w:rPr>
        <w:rFonts w:ascii="Rubik" w:eastAsia="Rubik" w:hAnsi="Rubik" w:cs="Rubik"/>
        <w:color w:val="000000"/>
        <w:sz w:val="28"/>
        <w:szCs w:val="28"/>
      </w:rPr>
    </w:pPr>
    <w:r>
      <w:rPr>
        <w:rFonts w:ascii="Rubik" w:eastAsia="Rubik" w:hAnsi="Rubik" w:cs="Rubik"/>
        <w:color w:val="000000"/>
        <w:sz w:val="28"/>
        <w:szCs w:val="28"/>
      </w:rPr>
      <w:t>X CONGRESO NACIONAL DE EXTENSIÓN</w:t>
    </w:r>
  </w:p>
  <w:p w:rsidR="00250F33" w:rsidRDefault="00C05F5C">
    <w:pPr>
      <w:pBdr>
        <w:top w:val="nil"/>
        <w:left w:val="nil"/>
        <w:bottom w:val="nil"/>
        <w:right w:val="nil"/>
        <w:between w:val="nil"/>
      </w:pBdr>
      <w:tabs>
        <w:tab w:val="center" w:pos="4252"/>
        <w:tab w:val="right" w:pos="8504"/>
        <w:tab w:val="right" w:pos="8504"/>
      </w:tabs>
      <w:spacing w:after="0" w:line="240" w:lineRule="auto"/>
      <w:ind w:left="2127"/>
      <w:rPr>
        <w:rFonts w:ascii="Calibri" w:eastAsia="Calibri" w:hAnsi="Calibri" w:cs="Calibri"/>
        <w:i/>
        <w:color w:val="000000"/>
        <w:sz w:val="24"/>
        <w:szCs w:val="24"/>
      </w:rPr>
    </w:pPr>
    <w:r>
      <w:rPr>
        <w:rFonts w:ascii="Calibri" w:eastAsia="Calibri" w:hAnsi="Calibri" w:cs="Calibri"/>
        <w:i/>
        <w:color w:val="000000"/>
        <w:sz w:val="24"/>
        <w:szCs w:val="24"/>
      </w:rPr>
      <w:t xml:space="preserve">La extensión en la </w:t>
    </w:r>
    <w:proofErr w:type="spellStart"/>
    <w:r>
      <w:rPr>
        <w:rFonts w:ascii="Calibri" w:eastAsia="Calibri" w:hAnsi="Calibri" w:cs="Calibri"/>
        <w:i/>
        <w:color w:val="000000"/>
        <w:sz w:val="24"/>
        <w:szCs w:val="24"/>
      </w:rPr>
      <w:t>pospandemia</w:t>
    </w:r>
    <w:proofErr w:type="spellEnd"/>
    <w:r>
      <w:rPr>
        <w:rFonts w:ascii="Calibri" w:eastAsia="Calibri" w:hAnsi="Calibri" w:cs="Calibri"/>
        <w:i/>
        <w:color w:val="000000"/>
        <w:sz w:val="24"/>
        <w:szCs w:val="24"/>
      </w:rPr>
      <w:t>: los desafíos</w:t>
    </w:r>
  </w:p>
  <w:p w:rsidR="00250F33" w:rsidRDefault="00C05F5C">
    <w:pPr>
      <w:pBdr>
        <w:top w:val="nil"/>
        <w:left w:val="nil"/>
        <w:bottom w:val="nil"/>
        <w:right w:val="nil"/>
        <w:between w:val="nil"/>
      </w:pBdr>
      <w:tabs>
        <w:tab w:val="center" w:pos="4252"/>
        <w:tab w:val="right" w:pos="8504"/>
        <w:tab w:val="right" w:pos="8504"/>
      </w:tabs>
      <w:spacing w:after="0" w:line="240" w:lineRule="auto"/>
      <w:ind w:left="2127"/>
      <w:rPr>
        <w:rFonts w:ascii="Calibri" w:eastAsia="Calibri" w:hAnsi="Calibri" w:cs="Calibri"/>
        <w:i/>
        <w:color w:val="000000"/>
        <w:sz w:val="24"/>
        <w:szCs w:val="24"/>
      </w:rPr>
    </w:pPr>
    <w:r>
      <w:rPr>
        <w:i/>
        <w:noProof/>
        <w:sz w:val="24"/>
        <w:szCs w:val="24"/>
        <w:lang w:val="es-AR" w:eastAsia="es-AR"/>
      </w:rPr>
      <w:drawing>
        <wp:anchor distT="0" distB="0" distL="0" distR="0" simplePos="0" relativeHeight="251658240" behindDoc="1" locked="0" layoutInCell="1" hidden="0" allowOverlap="1">
          <wp:simplePos x="0" y="0"/>
          <wp:positionH relativeFrom="margin">
            <wp:posOffset>-899794</wp:posOffset>
          </wp:positionH>
          <wp:positionV relativeFrom="margin">
            <wp:posOffset>-2609849</wp:posOffset>
          </wp:positionV>
          <wp:extent cx="7912790" cy="10706100"/>
          <wp:effectExtent l="0" t="0" r="0" b="0"/>
          <wp:wrapNone/>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12790" cy="10706100"/>
                  </a:xfrm>
                  <a:prstGeom prst="rect">
                    <a:avLst/>
                  </a:prstGeom>
                  <a:ln/>
                </pic:spPr>
              </pic:pic>
            </a:graphicData>
          </a:graphic>
        </wp:anchor>
      </w:drawing>
    </w:r>
    <w:proofErr w:type="gramStart"/>
    <w:r>
      <w:rPr>
        <w:rFonts w:ascii="Calibri" w:eastAsia="Calibri" w:hAnsi="Calibri" w:cs="Calibri"/>
        <w:i/>
        <w:color w:val="000000"/>
        <w:sz w:val="24"/>
        <w:szCs w:val="24"/>
      </w:rPr>
      <w:t>y</w:t>
    </w:r>
    <w:proofErr w:type="gramEnd"/>
    <w:r>
      <w:rPr>
        <w:rFonts w:ascii="Calibri" w:eastAsia="Calibri" w:hAnsi="Calibri" w:cs="Calibri"/>
        <w:i/>
        <w:color w:val="000000"/>
        <w:sz w:val="24"/>
        <w:szCs w:val="24"/>
      </w:rPr>
      <w:t xml:space="preserve"> aprendizajes de la universidad </w:t>
    </w:r>
    <w:proofErr w:type="spellStart"/>
    <w:r>
      <w:rPr>
        <w:rFonts w:ascii="Calibri" w:eastAsia="Calibri" w:hAnsi="Calibri" w:cs="Calibri"/>
        <w:i/>
        <w:color w:val="000000"/>
        <w:sz w:val="24"/>
        <w:szCs w:val="24"/>
      </w:rPr>
      <w:t>territorializada</w:t>
    </w:r>
    <w:proofErr w:type="spellEnd"/>
  </w:p>
  <w:p w:rsidR="00250F33" w:rsidRDefault="00C05F5C">
    <w:pPr>
      <w:pBdr>
        <w:top w:val="nil"/>
        <w:left w:val="nil"/>
        <w:bottom w:val="nil"/>
        <w:right w:val="nil"/>
        <w:between w:val="nil"/>
      </w:pBdr>
      <w:tabs>
        <w:tab w:val="center" w:pos="4252"/>
        <w:tab w:val="right" w:pos="8504"/>
        <w:tab w:val="right" w:pos="8504"/>
      </w:tabs>
      <w:spacing w:before="120" w:after="0" w:line="240" w:lineRule="auto"/>
      <w:ind w:left="2126"/>
      <w:rPr>
        <w:rFonts w:ascii="Rubik" w:eastAsia="Rubik" w:hAnsi="Rubik" w:cs="Rubik"/>
        <w:color w:val="000000"/>
        <w:sz w:val="24"/>
        <w:szCs w:val="24"/>
      </w:rPr>
    </w:pPr>
    <w:r>
      <w:rPr>
        <w:rFonts w:ascii="Rubik" w:eastAsia="Rubik" w:hAnsi="Rubik" w:cs="Rubik"/>
        <w:color w:val="000000"/>
        <w:sz w:val="24"/>
        <w:szCs w:val="24"/>
      </w:rPr>
      <w:t>19, 20 y 21 DE OCTUBRE DE 2022</w:t>
    </w:r>
    <w:r>
      <w:rPr>
        <w:noProof/>
        <w:lang w:val="es-AR" w:eastAsia="es-AR"/>
      </w:rPr>
      <w:drawing>
        <wp:anchor distT="0" distB="0" distL="0" distR="0" simplePos="0" relativeHeight="251659264" behindDoc="1" locked="0" layoutInCell="1" hidden="0" allowOverlap="1">
          <wp:simplePos x="0" y="0"/>
          <wp:positionH relativeFrom="column">
            <wp:posOffset>5000625</wp:posOffset>
          </wp:positionH>
          <wp:positionV relativeFrom="paragraph">
            <wp:posOffset>95250</wp:posOffset>
          </wp:positionV>
          <wp:extent cx="419735" cy="864235"/>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19735" cy="864235"/>
                  </a:xfrm>
                  <a:prstGeom prst="rect">
                    <a:avLst/>
                  </a:prstGeom>
                  <a:ln/>
                </pic:spPr>
              </pic:pic>
            </a:graphicData>
          </a:graphic>
        </wp:anchor>
      </w:drawing>
    </w:r>
  </w:p>
  <w:p w:rsidR="00250F33" w:rsidRDefault="00250F33">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p>
  <w:p w:rsidR="00250F33" w:rsidRDefault="00C05F5C">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r>
      <w:rPr>
        <w:noProof/>
        <w:lang w:val="es-AR" w:eastAsia="es-AR"/>
      </w:rPr>
      <w:drawing>
        <wp:anchor distT="0" distB="0" distL="0" distR="0" simplePos="0" relativeHeight="251660288" behindDoc="0" locked="0" layoutInCell="1" hidden="0" allowOverlap="1">
          <wp:simplePos x="0" y="0"/>
          <wp:positionH relativeFrom="column">
            <wp:posOffset>3219450</wp:posOffset>
          </wp:positionH>
          <wp:positionV relativeFrom="paragraph">
            <wp:posOffset>100013</wp:posOffset>
          </wp:positionV>
          <wp:extent cx="2623820" cy="538480"/>
          <wp:effectExtent l="0" t="0" r="0" b="0"/>
          <wp:wrapNone/>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623820" cy="538480"/>
                  </a:xfrm>
                  <a:prstGeom prst="rect">
                    <a:avLst/>
                  </a:prstGeom>
                  <a:ln/>
                </pic:spPr>
              </pic:pic>
            </a:graphicData>
          </a:graphic>
        </wp:anchor>
      </w:drawing>
    </w:r>
    <w:r>
      <w:rPr>
        <w:noProof/>
        <w:lang w:val="es-AR" w:eastAsia="es-AR"/>
      </w:rPr>
      <w:drawing>
        <wp:anchor distT="0" distB="0" distL="114300" distR="114300" simplePos="0" relativeHeight="251661312" behindDoc="0" locked="0" layoutInCell="1" hidden="0" allowOverlap="1">
          <wp:simplePos x="0" y="0"/>
          <wp:positionH relativeFrom="column">
            <wp:posOffset>1209675</wp:posOffset>
          </wp:positionH>
          <wp:positionV relativeFrom="paragraph">
            <wp:posOffset>166688</wp:posOffset>
          </wp:positionV>
          <wp:extent cx="2366645" cy="414655"/>
          <wp:effectExtent l="0" t="0" r="0" b="0"/>
          <wp:wrapSquare wrapText="bothSides" distT="0" distB="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366645" cy="41465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33" w:rsidRDefault="00C05F5C">
    <w:pPr>
      <w:pBdr>
        <w:top w:val="nil"/>
        <w:left w:val="nil"/>
        <w:bottom w:val="nil"/>
        <w:right w:val="nil"/>
        <w:between w:val="nil"/>
      </w:pBdr>
      <w:tabs>
        <w:tab w:val="center" w:pos="4252"/>
        <w:tab w:val="right" w:pos="8504"/>
        <w:tab w:val="right" w:pos="8504"/>
      </w:tabs>
      <w:spacing w:after="0" w:line="240" w:lineRule="auto"/>
      <w:ind w:left="2127"/>
      <w:rPr>
        <w:rFonts w:ascii="Rubik" w:eastAsia="Rubik" w:hAnsi="Rubik" w:cs="Rubik"/>
        <w:color w:val="000000"/>
        <w:sz w:val="28"/>
        <w:szCs w:val="28"/>
      </w:rPr>
    </w:pPr>
    <w:r>
      <w:rPr>
        <w:rFonts w:ascii="Calibri" w:eastAsia="Calibri" w:hAnsi="Calibri" w:cs="Calibri"/>
        <w:noProof/>
        <w:color w:val="000000"/>
        <w:lang w:val="es-AR" w:eastAsia="es-AR"/>
      </w:rPr>
      <w:drawing>
        <wp:anchor distT="0" distB="0" distL="0" distR="0" simplePos="0" relativeHeight="251662336" behindDoc="1" locked="0" layoutInCell="1" hidden="0" allowOverlap="1">
          <wp:simplePos x="0" y="0"/>
          <wp:positionH relativeFrom="margin">
            <wp:posOffset>-795653</wp:posOffset>
          </wp:positionH>
          <wp:positionV relativeFrom="margin">
            <wp:posOffset>-2371088</wp:posOffset>
          </wp:positionV>
          <wp:extent cx="7907040" cy="10911240"/>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907040" cy="10911240"/>
                  </a:xfrm>
                  <a:prstGeom prst="rect">
                    <a:avLst/>
                  </a:prstGeom>
                  <a:ln/>
                </pic:spPr>
              </pic:pic>
            </a:graphicData>
          </a:graphic>
        </wp:anchor>
      </w:drawing>
    </w:r>
    <w:r>
      <w:rPr>
        <w:rFonts w:ascii="Rubik" w:eastAsia="Rubik" w:hAnsi="Rubik" w:cs="Rubik"/>
        <w:color w:val="000000"/>
        <w:sz w:val="28"/>
        <w:szCs w:val="28"/>
      </w:rPr>
      <w:t>X CONGRESO NACIONAL DE EXTENSIÓN</w:t>
    </w:r>
  </w:p>
  <w:p w:rsidR="00250F33" w:rsidRDefault="00C05F5C">
    <w:pPr>
      <w:pBdr>
        <w:top w:val="nil"/>
        <w:left w:val="nil"/>
        <w:bottom w:val="nil"/>
        <w:right w:val="nil"/>
        <w:between w:val="nil"/>
      </w:pBdr>
      <w:tabs>
        <w:tab w:val="center" w:pos="4252"/>
        <w:tab w:val="right" w:pos="8504"/>
        <w:tab w:val="right" w:pos="8504"/>
      </w:tabs>
      <w:spacing w:after="0" w:line="240" w:lineRule="auto"/>
      <w:ind w:left="2127"/>
      <w:rPr>
        <w:rFonts w:ascii="Calibri" w:eastAsia="Calibri" w:hAnsi="Calibri" w:cs="Calibri"/>
        <w:i/>
        <w:color w:val="000000"/>
        <w:sz w:val="24"/>
        <w:szCs w:val="24"/>
      </w:rPr>
    </w:pPr>
    <w:r>
      <w:rPr>
        <w:rFonts w:ascii="Calibri" w:eastAsia="Calibri" w:hAnsi="Calibri" w:cs="Calibri"/>
        <w:i/>
        <w:color w:val="000000"/>
        <w:sz w:val="24"/>
        <w:szCs w:val="24"/>
      </w:rPr>
      <w:t xml:space="preserve">La extensión en la </w:t>
    </w:r>
    <w:proofErr w:type="spellStart"/>
    <w:r>
      <w:rPr>
        <w:rFonts w:ascii="Calibri" w:eastAsia="Calibri" w:hAnsi="Calibri" w:cs="Calibri"/>
        <w:i/>
        <w:color w:val="000000"/>
        <w:sz w:val="24"/>
        <w:szCs w:val="24"/>
      </w:rPr>
      <w:t>pospandemia</w:t>
    </w:r>
    <w:proofErr w:type="spellEnd"/>
    <w:r>
      <w:rPr>
        <w:rFonts w:ascii="Calibri" w:eastAsia="Calibri" w:hAnsi="Calibri" w:cs="Calibri"/>
        <w:i/>
        <w:color w:val="000000"/>
        <w:sz w:val="24"/>
        <w:szCs w:val="24"/>
      </w:rPr>
      <w:t>: los desafíos</w:t>
    </w:r>
  </w:p>
  <w:p w:rsidR="00250F33" w:rsidRDefault="00C05F5C">
    <w:pPr>
      <w:pBdr>
        <w:top w:val="nil"/>
        <w:left w:val="nil"/>
        <w:bottom w:val="nil"/>
        <w:right w:val="nil"/>
        <w:between w:val="nil"/>
      </w:pBdr>
      <w:tabs>
        <w:tab w:val="center" w:pos="4252"/>
        <w:tab w:val="right" w:pos="8504"/>
        <w:tab w:val="right" w:pos="8504"/>
      </w:tabs>
      <w:spacing w:after="0" w:line="240" w:lineRule="auto"/>
      <w:ind w:left="2127"/>
      <w:rPr>
        <w:rFonts w:ascii="Calibri" w:eastAsia="Calibri" w:hAnsi="Calibri" w:cs="Calibri"/>
        <w:i/>
        <w:color w:val="000000"/>
        <w:sz w:val="24"/>
        <w:szCs w:val="24"/>
      </w:rPr>
    </w:pPr>
    <w:proofErr w:type="gramStart"/>
    <w:r>
      <w:rPr>
        <w:rFonts w:ascii="Calibri" w:eastAsia="Calibri" w:hAnsi="Calibri" w:cs="Calibri"/>
        <w:i/>
        <w:color w:val="000000"/>
        <w:sz w:val="24"/>
        <w:szCs w:val="24"/>
      </w:rPr>
      <w:t>y</w:t>
    </w:r>
    <w:proofErr w:type="gramEnd"/>
    <w:r>
      <w:rPr>
        <w:rFonts w:ascii="Calibri" w:eastAsia="Calibri" w:hAnsi="Calibri" w:cs="Calibri"/>
        <w:i/>
        <w:color w:val="000000"/>
        <w:sz w:val="24"/>
        <w:szCs w:val="24"/>
      </w:rPr>
      <w:t xml:space="preserve"> aprendizajes de la universidad </w:t>
    </w:r>
    <w:proofErr w:type="spellStart"/>
    <w:r>
      <w:rPr>
        <w:rFonts w:ascii="Calibri" w:eastAsia="Calibri" w:hAnsi="Calibri" w:cs="Calibri"/>
        <w:i/>
        <w:color w:val="000000"/>
        <w:sz w:val="24"/>
        <w:szCs w:val="24"/>
      </w:rPr>
      <w:t>territorializada</w:t>
    </w:r>
    <w:proofErr w:type="spellEnd"/>
  </w:p>
  <w:p w:rsidR="00250F33" w:rsidRDefault="00C05F5C">
    <w:pPr>
      <w:pBdr>
        <w:top w:val="nil"/>
        <w:left w:val="nil"/>
        <w:bottom w:val="nil"/>
        <w:right w:val="nil"/>
        <w:between w:val="nil"/>
      </w:pBdr>
      <w:tabs>
        <w:tab w:val="center" w:pos="4252"/>
        <w:tab w:val="right" w:pos="8504"/>
        <w:tab w:val="right" w:pos="8504"/>
      </w:tabs>
      <w:spacing w:before="120" w:after="0" w:line="240" w:lineRule="auto"/>
      <w:ind w:left="2126"/>
      <w:rPr>
        <w:rFonts w:ascii="Rubik" w:eastAsia="Rubik" w:hAnsi="Rubik" w:cs="Rubik"/>
        <w:color w:val="000000"/>
        <w:sz w:val="24"/>
        <w:szCs w:val="24"/>
      </w:rPr>
    </w:pPr>
    <w:r>
      <w:rPr>
        <w:rFonts w:ascii="Rubik" w:eastAsia="Rubik" w:hAnsi="Rubik" w:cs="Rubik"/>
        <w:color w:val="000000"/>
        <w:sz w:val="24"/>
        <w:szCs w:val="24"/>
      </w:rPr>
      <w:t>19, 20 y 21 DE OCTUBRE DE 2022</w:t>
    </w:r>
    <w:r>
      <w:rPr>
        <w:noProof/>
        <w:lang w:val="es-AR" w:eastAsia="es-AR"/>
      </w:rPr>
      <w:drawing>
        <wp:anchor distT="0" distB="0" distL="0" distR="0" simplePos="0" relativeHeight="251663360" behindDoc="1" locked="0" layoutInCell="1" hidden="0" allowOverlap="1">
          <wp:simplePos x="0" y="0"/>
          <wp:positionH relativeFrom="column">
            <wp:posOffset>5600065</wp:posOffset>
          </wp:positionH>
          <wp:positionV relativeFrom="paragraph">
            <wp:posOffset>112395</wp:posOffset>
          </wp:positionV>
          <wp:extent cx="419735" cy="864235"/>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19735" cy="864235"/>
                  </a:xfrm>
                  <a:prstGeom prst="rect">
                    <a:avLst/>
                  </a:prstGeom>
                  <a:ln/>
                </pic:spPr>
              </pic:pic>
            </a:graphicData>
          </a:graphic>
        </wp:anchor>
      </w:drawing>
    </w:r>
  </w:p>
  <w:p w:rsidR="00250F33" w:rsidRDefault="00250F33">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p>
  <w:p w:rsidR="00250F33" w:rsidRDefault="00C05F5C">
    <w:pPr>
      <w:pBdr>
        <w:top w:val="nil"/>
        <w:left w:val="nil"/>
        <w:bottom w:val="nil"/>
        <w:right w:val="nil"/>
        <w:between w:val="nil"/>
      </w:pBdr>
      <w:tabs>
        <w:tab w:val="center" w:pos="4252"/>
        <w:tab w:val="right" w:pos="8504"/>
      </w:tabs>
      <w:spacing w:after="0" w:line="240" w:lineRule="auto"/>
      <w:rPr>
        <w:rFonts w:ascii="Calibri" w:eastAsia="Calibri" w:hAnsi="Calibri" w:cs="Calibri"/>
        <w:color w:val="000000"/>
      </w:rPr>
    </w:pPr>
    <w:r>
      <w:rPr>
        <w:noProof/>
        <w:lang w:val="es-AR" w:eastAsia="es-AR"/>
      </w:rPr>
      <w:drawing>
        <wp:anchor distT="0" distB="0" distL="0" distR="0" simplePos="0" relativeHeight="251664384" behindDoc="1" locked="0" layoutInCell="1" hidden="0" allowOverlap="1">
          <wp:simplePos x="0" y="0"/>
          <wp:positionH relativeFrom="column">
            <wp:posOffset>3568065</wp:posOffset>
          </wp:positionH>
          <wp:positionV relativeFrom="paragraph">
            <wp:posOffset>91440</wp:posOffset>
          </wp:positionV>
          <wp:extent cx="2623820" cy="538480"/>
          <wp:effectExtent l="0" t="0" r="0" b="0"/>
          <wp:wrapNone/>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623820" cy="538480"/>
                  </a:xfrm>
                  <a:prstGeom prst="rect">
                    <a:avLst/>
                  </a:prstGeom>
                  <a:ln/>
                </pic:spPr>
              </pic:pic>
            </a:graphicData>
          </a:graphic>
        </wp:anchor>
      </w:drawing>
    </w:r>
    <w:r>
      <w:rPr>
        <w:noProof/>
        <w:lang w:val="es-AR" w:eastAsia="es-AR"/>
      </w:rPr>
      <w:drawing>
        <wp:anchor distT="0" distB="0" distL="114300" distR="114300" simplePos="0" relativeHeight="251665408" behindDoc="0" locked="0" layoutInCell="1" hidden="0" allowOverlap="1">
          <wp:simplePos x="0" y="0"/>
          <wp:positionH relativeFrom="column">
            <wp:posOffset>1380490</wp:posOffset>
          </wp:positionH>
          <wp:positionV relativeFrom="paragraph">
            <wp:posOffset>167005</wp:posOffset>
          </wp:positionV>
          <wp:extent cx="2366645" cy="414655"/>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366645" cy="4146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33"/>
    <w:rsid w:val="00153DF8"/>
    <w:rsid w:val="00225832"/>
    <w:rsid w:val="00250F33"/>
    <w:rsid w:val="002D686C"/>
    <w:rsid w:val="00681F79"/>
    <w:rsid w:val="0082482F"/>
    <w:rsid w:val="00854FFF"/>
    <w:rsid w:val="009E5B14"/>
    <w:rsid w:val="00A15D8B"/>
    <w:rsid w:val="00C05F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A62A0E-3F95-4A7E-9AE4-96313BD8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C21754"/>
  </w:style>
  <w:style w:type="character" w:customStyle="1" w:styleId="PiedepginaCar">
    <w:name w:val="Pie de página Car"/>
    <w:basedOn w:val="Fuentedeprrafopredeter"/>
    <w:link w:val="Piedepgina"/>
    <w:uiPriority w:val="99"/>
    <w:qFormat/>
    <w:rsid w:val="00C21754"/>
  </w:style>
  <w:style w:type="character" w:customStyle="1" w:styleId="EnlacedeInternet">
    <w:name w:val="Enlace de Interne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21754"/>
    <w:pPr>
      <w:tabs>
        <w:tab w:val="center" w:pos="4252"/>
        <w:tab w:val="right" w:pos="8504"/>
      </w:tabs>
      <w:spacing w:after="0" w:line="240" w:lineRule="auto"/>
    </w:pPr>
  </w:style>
  <w:style w:type="paragraph" w:styleId="Piedepgina">
    <w:name w:val="footer"/>
    <w:basedOn w:val="Normal"/>
    <w:link w:val="PiedepginaCar"/>
    <w:uiPriority w:val="99"/>
    <w:unhideWhenUsed/>
    <w:rsid w:val="00C21754"/>
    <w:pPr>
      <w:tabs>
        <w:tab w:val="center" w:pos="4252"/>
        <w:tab w:val="right" w:pos="8504"/>
      </w:tabs>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153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balbarrey@unrn.edu.a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errera@unrn.edu.a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figueroa@unrn.edu.a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birochio@unrn.edu.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zubillaga@unrn.edu.a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VwryI7lO3qUld3/Eq9Njcmbj9A==">AMUW2mWtUGvM4uHjHTx/ajYWDNX/YFHlN194Sv2zp0VZZuYzTG+Jj572FX64/7EClG6WA5goCTfVtMj/bs+0I9M4JkxyBbiVspQuxdBM6OpPTvpNlXoLckR8iwXnwl/aJiC1EOwoX9Eg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 - Gabriela</dc:creator>
  <cp:lastModifiedBy>Maria Fany</cp:lastModifiedBy>
  <cp:revision>2</cp:revision>
  <dcterms:created xsi:type="dcterms:W3CDTF">2022-10-12T09:42:00Z</dcterms:created>
  <dcterms:modified xsi:type="dcterms:W3CDTF">2022-10-12T09:42:00Z</dcterms:modified>
</cp:coreProperties>
</file>