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XXVIII Jornadas de investigación en artes, Facultad de Artes. 17 al 19 de septiembre de 2025, Universidad Nacional de Córdoba, Córdoba.</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María José Melendo</w:t>
      </w: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Universidad Nacional del Comahue. Facultad de Humanidades. Río Negro, Argentina.</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Universidad Nacional de Río Negro. Escuela de Arquitectura, Arte y Diseño. Río Negro, Argentina </w:t>
      </w:r>
      <w:hyperlink r:id="rId7">
        <w:r w:rsidDel="00000000" w:rsidR="00000000" w:rsidRPr="00000000">
          <w:rPr>
            <w:rFonts w:ascii="Calibri" w:cs="Calibri" w:eastAsia="Calibri" w:hAnsi="Calibri"/>
            <w:color w:val="0563c1"/>
            <w:sz w:val="24"/>
            <w:szCs w:val="24"/>
            <w:u w:val="single"/>
            <w:rtl w:val="0"/>
          </w:rPr>
          <w:t xml:space="preserve">mjmelendo@unrn.edu.ar</w:t>
        </w:r>
      </w:hyperlink>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mirada del arte o el arte del des-cubrir. Apuntes situados en torno a la construcción de paisajes</w:t>
      </w:r>
    </w:p>
    <w:p w:rsidR="00000000" w:rsidDel="00000000" w:rsidP="00000000" w:rsidRDefault="00000000" w:rsidRPr="00000000" w14:paraId="00000008">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trabajo me propongo explorar la potencia del arte para desplegar una mirada desautomatizada en torno a lo inmediato, mirada que provoca entonces una suerte de descubrimiento. Desde este lugar y atendiendo a la representación de lo natural por parte del arte, exploraré distintos alcances sobre el paisaje en tanto concepto vinculado a la mirada humana sobre un territorio.  Recupero el abordaje de Alain Roger en relación con lo que él llama “artealización” en su libro </w:t>
      </w:r>
      <w:r w:rsidDel="00000000" w:rsidR="00000000" w:rsidRPr="00000000">
        <w:rPr>
          <w:rFonts w:ascii="Calibri" w:cs="Calibri" w:eastAsia="Calibri" w:hAnsi="Calibri"/>
          <w:i w:val="1"/>
          <w:sz w:val="24"/>
          <w:szCs w:val="24"/>
          <w:rtl w:val="0"/>
        </w:rPr>
        <w:t xml:space="preserve">Breve tratado sobre el paisaje </w:t>
      </w:r>
      <w:r w:rsidDel="00000000" w:rsidR="00000000" w:rsidRPr="00000000">
        <w:rPr>
          <w:rFonts w:ascii="Calibri" w:cs="Calibri" w:eastAsia="Calibri" w:hAnsi="Calibri"/>
          <w:sz w:val="24"/>
          <w:szCs w:val="24"/>
          <w:rtl w:val="0"/>
        </w:rPr>
        <w:t xml:space="preserve">publicado en 1997. Allí, el autor plantea que un paisaje no es reductible a su realidad física sino que la transformación “de un país en paisaje” supone siempre una metamorfosis, una metafísica, de modo que el paisaje nunca es natural, sino “sobrenatural”. Tal como indica el propio Roger: p.14)” si el paisaje no es inmanente, ni trascendente, ¿cuál es su origen? Humano y artístico, ésta es mi respuesta. El arte constituye el verdadero mediador, el ‘meta’ de la metamorfosis, el ‘meta’ de la metafísica paisajística. La percepción, histórica y cultural, de todos nuestros paisajes —campo, montaña, mar, desierto, etc.— no requiere ninguna intervención mística (como si descendiera del cielo) o misteriosa (como si subiera del suelo); se opera según eso que yo llamo, retomando una palabra de Montaigne, una ‘artealización’.”</w:t>
      </w:r>
    </w:p>
    <w:p w:rsidR="00000000" w:rsidDel="00000000" w:rsidP="00000000" w:rsidRDefault="00000000" w:rsidRPr="00000000" w14:paraId="00000009">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Roger advierte que la percepción del paisaje requiere una actitud para comprenderlo como tal, una cierta distancia, una manera extrañada de aproximación al espacio, alejándose por ejemplo de las lógicas laborales que generan para Roger que el entorno raramente sea considerado paisaje. Conecto esta “actitud” requerida en el “mirar” del arte con la que despliega la filosofía en su interés en rasquetear la superficie y tener los ojos bien abiertos.</w:t>
      </w:r>
    </w:p>
    <w:p w:rsidR="00000000" w:rsidDel="00000000" w:rsidP="00000000" w:rsidRDefault="00000000" w:rsidRPr="00000000" w14:paraId="0000000A">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 interesa pensar de manera específica y situada estos alcances en torno a la mirada y por eso, en este trabajo presentaré la obra de la artista patagónica Lorraine Green para exponer esta posibilidad del arte de construir paisajes. Considero que al recuperar los procesos heurísticos alrededor de la construcción de dichos paisajes puede verse la potencia de la mirada del arte para ese “volver visible” que aquí es nombrado recuperando sus alcances polisémicos. </w:t>
      </w:r>
    </w:p>
    <w:p w:rsidR="00000000" w:rsidDel="00000000" w:rsidP="00000000" w:rsidRDefault="00000000" w:rsidRPr="00000000" w14:paraId="0000000B">
      <w:pPr>
        <w:spacing w:after="0" w:line="36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Lorraine Green, vive en la ciudad de Bariloche y su obra remite insistentemente al espacio que habita. Reconoce que la acuarela es un medio recurrente en su práctica pero no el único; de hecho, obras como </w:t>
      </w:r>
      <w:r w:rsidDel="00000000" w:rsidR="00000000" w:rsidRPr="00000000">
        <w:rPr>
          <w:rFonts w:ascii="Calibri" w:cs="Calibri" w:eastAsia="Calibri" w:hAnsi="Calibri"/>
          <w:i w:val="1"/>
          <w:sz w:val="24"/>
          <w:szCs w:val="24"/>
          <w:rtl w:val="0"/>
        </w:rPr>
        <w:t xml:space="preserve">Te escribo desde este bello lugar </w:t>
      </w:r>
      <w:r w:rsidDel="00000000" w:rsidR="00000000" w:rsidRPr="00000000">
        <w:rPr>
          <w:rFonts w:ascii="Calibri" w:cs="Calibri" w:eastAsia="Calibri" w:hAnsi="Calibri"/>
          <w:sz w:val="24"/>
          <w:szCs w:val="24"/>
          <w:rtl w:val="0"/>
        </w:rPr>
        <w:t xml:space="preserve">(2017) optan por la fotografía como medio para abordar el espesor de la palabra paisaje desde la recuperación de historias que allí acontecieron que transforman el paisaje en una suerte de palimpsesto.</w:t>
      </w:r>
      <w:r w:rsidDel="00000000" w:rsidR="00000000" w:rsidRPr="00000000">
        <w:rPr>
          <w:rtl w:val="0"/>
        </w:rPr>
      </w:r>
    </w:p>
    <w:p w:rsidR="00000000" w:rsidDel="00000000" w:rsidP="00000000" w:rsidRDefault="00000000" w:rsidRPr="00000000" w14:paraId="0000000C">
      <w:pPr>
        <w:spacing w:after="0" w:line="36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La artista recorre la región patagónica, camina por senderos, asciende montañas con cuaderno, lápices y acuarelas en su mochila buscando que su mano acompañe lo que sus ojos y su emoción le dictan acerca de lo que ve. Se interesa también por lo que tiene más próximo: un jardín al que decide registrar con dibujos y acuarelas en distintos momentos, como aquel gesto de Claude Monet en su jardín de Giverny y los nenúfares del estanque.  </w:t>
      </w:r>
      <w:r w:rsidDel="00000000" w:rsidR="00000000" w:rsidRPr="00000000">
        <w:rPr>
          <w:rtl w:val="0"/>
        </w:rPr>
      </w:r>
    </w:p>
    <w:p w:rsidR="00000000" w:rsidDel="00000000" w:rsidP="00000000" w:rsidRDefault="00000000" w:rsidRPr="00000000" w14:paraId="0000000D">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dibujar, dice, es un pretexto para observar, “dibujar es pensar”, expresión que permite iluminar un cúmulo de acciones cotidianas que atraviesan su identidad artística y están presentes por ejemplo en los ejercicios en los talleres que dicta en los que busca explorar cielos de invierno, hongos en el otoño, paisajes de nieve o la estacionalidad fugaz y precaria de las flores. Estos gestos recuperan la potencia del dibujo como recurso no ya meramente propedéutico: el medio para bocetar, sino que permite de un modo potente captar lo que está en movimiento, lo fugaz o evanescente. Hay algo performático en la poética de Lorraine que vincula el dibujo con el acontecimiento, como puede verse en </w:t>
      </w:r>
      <w:r w:rsidDel="00000000" w:rsidR="00000000" w:rsidRPr="00000000">
        <w:rPr>
          <w:rFonts w:ascii="Calibri" w:cs="Calibri" w:eastAsia="Calibri" w:hAnsi="Calibri"/>
          <w:i w:val="1"/>
          <w:sz w:val="24"/>
          <w:szCs w:val="24"/>
          <w:rtl w:val="0"/>
        </w:rPr>
        <w:t xml:space="preserve">Apuntes sobre la estepa patagónica (2001-2012)</w:t>
      </w:r>
      <w:r w:rsidDel="00000000" w:rsidR="00000000" w:rsidRPr="00000000">
        <w:rPr>
          <w:rFonts w:ascii="Calibri" w:cs="Calibri" w:eastAsia="Calibri" w:hAnsi="Calibri"/>
          <w:sz w:val="24"/>
          <w:szCs w:val="24"/>
          <w:rtl w:val="0"/>
        </w:rPr>
        <w:t xml:space="preserve">  proyecto de herbario e ilustración botánica mediante dibujo y pintura en acuarelas. Este libro es resultado de un relevamiento de la flora de la estepa patagónica que comenzó en 2005, junto a la botánica Marcela Ferreyra en el que durante varios veranos caminaron kilómetros por la estepa, tomaron notas de las taxonomías de las plantas  y Lorraine boceteó las fisonomías de las flores. Debieron esperar el tiempo específico de cada una de las flores y llevaron hielo para conservarlas frescas hasta llegar al estudio de la artista. </w:t>
      </w:r>
    </w:p>
    <w:p w:rsidR="00000000" w:rsidDel="00000000" w:rsidP="00000000" w:rsidRDefault="00000000" w:rsidRPr="00000000" w14:paraId="0000000E">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Esperar. Observar. Aprender de lo natural.  Representar fueron acciones esenciales en ese proyecto de largo aliento que enlazo aquí con un gesto filosófico que para mí parte de las mismas acciones; me refiero al pequeño proyecto en el que se embarcó el pensador coreano Byung Chul Han en colaboración con Isabelle Gresser y que plasmó en su libro </w:t>
      </w:r>
      <w:r w:rsidDel="00000000" w:rsidR="00000000" w:rsidRPr="00000000">
        <w:rPr>
          <w:rFonts w:ascii="Calibri" w:cs="Calibri" w:eastAsia="Calibri" w:hAnsi="Calibri"/>
          <w:i w:val="1"/>
          <w:sz w:val="24"/>
          <w:szCs w:val="24"/>
          <w:rtl w:val="0"/>
        </w:rPr>
        <w:t xml:space="preserve">Loa a la tierra. Un viaje al jardín, </w:t>
      </w:r>
      <w:r w:rsidDel="00000000" w:rsidR="00000000" w:rsidRPr="00000000">
        <w:rPr>
          <w:rFonts w:ascii="Calibri" w:cs="Calibri" w:eastAsia="Calibri" w:hAnsi="Calibri"/>
          <w:sz w:val="24"/>
          <w:szCs w:val="24"/>
          <w:rtl w:val="0"/>
        </w:rPr>
        <w:t xml:space="preserve">un diario en el que registró el proceso de cultivar un jardín que tuviera plantas todo el año, incluso en los gélidos e interminables inviernos que acechan Berlín. Allí contó acerca de las flores que asomaban en su jardín, sobre sus particularidades, su aspecto a lo largo de las estaciones, los cuidados que necesitaban e intercaló lo narrativo con ilustraciones botánicas de esas especies realizadas por la artista Isabelle Gresser. Relató lo observado en cada una de las estaciones y explicó que “en el jardín las estaciones se perciben sobre todo corporalmente. La gélida frialdad del agua que sale del bidón que recoge el agua de lluvia penetra profundamente en el cuerpo.” (Han, 2019: 24). </w:t>
      </w:r>
    </w:p>
    <w:p w:rsidR="00000000" w:rsidDel="00000000" w:rsidP="00000000" w:rsidRDefault="00000000" w:rsidRPr="00000000" w14:paraId="0000000F">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Cultivar un jardín resulta acá el medio para des-cubrir el sentido filosófico que aguarda detrás de los ciclos vegetales; también Lorraine Green, como me propongo exponer en este trabajo, al observar lo que la rodea, al representar a través del dibujo, des-cubre paisajes que aguardan. </w:t>
      </w:r>
    </w:p>
    <w:p w:rsidR="00000000" w:rsidDel="00000000" w:rsidP="00000000" w:rsidRDefault="00000000" w:rsidRPr="00000000" w14:paraId="00000010">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Bibliografía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AGAMBEN, Giorgio (2006) “¿Qué es lo contemporáneo?”, leído en el curso de Filosofía Teorética la Facultad de Artes y Diseño de Venecia, Italia. Traducción: Verónica Nájera. Disponible en </w:t>
      </w:r>
      <w:r w:rsidDel="00000000" w:rsidR="00000000" w:rsidRPr="00000000">
        <w:rPr>
          <w:rFonts w:ascii="Calibri" w:cs="Calibri" w:eastAsia="Calibri" w:hAnsi="Calibri"/>
          <w:sz w:val="24"/>
          <w:szCs w:val="24"/>
          <w:u w:val="single"/>
          <w:rtl w:val="0"/>
        </w:rPr>
        <w:t xml:space="preserve">http://salonkritik.net/08-09/2008/12/que_es_lo_contemporaneo_giorgi.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 xml:space="preserve">php</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CHUL HAN, Byung (2019),  </w:t>
      </w:r>
      <w:r w:rsidDel="00000000" w:rsidR="00000000" w:rsidRPr="00000000">
        <w:rPr>
          <w:rFonts w:ascii="Calibri" w:cs="Calibri" w:eastAsia="Calibri" w:hAnsi="Calibri"/>
          <w:i w:val="1"/>
          <w:sz w:val="24"/>
          <w:szCs w:val="24"/>
          <w:rtl w:val="0"/>
        </w:rPr>
        <w:t xml:space="preserve">Loa a la tierra. Un viaje al jardín</w:t>
      </w:r>
      <w:r w:rsidDel="00000000" w:rsidR="00000000" w:rsidRPr="00000000">
        <w:rPr>
          <w:rFonts w:ascii="Calibri" w:cs="Calibri" w:eastAsia="Calibri" w:hAnsi="Calibri"/>
          <w:sz w:val="24"/>
          <w:szCs w:val="24"/>
          <w:rtl w:val="0"/>
        </w:rPr>
        <w:t xml:space="preserve">, Buenos Aires, Herder.</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CHUL HAN,, Byung (2023), </w:t>
      </w:r>
      <w:r w:rsidDel="00000000" w:rsidR="00000000" w:rsidRPr="00000000">
        <w:rPr>
          <w:rFonts w:ascii="Calibri" w:cs="Calibri" w:eastAsia="Calibri" w:hAnsi="Calibri"/>
          <w:i w:val="1"/>
          <w:sz w:val="24"/>
          <w:szCs w:val="24"/>
          <w:rtl w:val="0"/>
        </w:rPr>
        <w:t xml:space="preserve">Vida contemplativa. Elogio de la inactividad</w:t>
      </w:r>
      <w:r w:rsidDel="00000000" w:rsidR="00000000" w:rsidRPr="00000000">
        <w:rPr>
          <w:rFonts w:ascii="Calibri" w:cs="Calibri" w:eastAsia="Calibri" w:hAnsi="Calibri"/>
          <w:sz w:val="24"/>
          <w:szCs w:val="24"/>
          <w:rtl w:val="0"/>
        </w:rPr>
        <w:t xml:space="preserve">, Buenos Aires, Herder.</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GATTAS VARGAS, Maia (2022), “Modos de ver y modos de situar el paisaje en Bariloche: tres casos de fotografía contemporánea” en </w:t>
      </w:r>
      <w:r w:rsidDel="00000000" w:rsidR="00000000" w:rsidRPr="00000000">
        <w:rPr>
          <w:rFonts w:ascii="Calibri" w:cs="Calibri" w:eastAsia="Calibri" w:hAnsi="Calibri"/>
          <w:i w:val="1"/>
          <w:sz w:val="24"/>
          <w:szCs w:val="24"/>
          <w:rtl w:val="0"/>
        </w:rPr>
        <w:t xml:space="preserve">Otros Logos. Revista de estudios críticos, </w:t>
      </w:r>
      <w:r w:rsidDel="00000000" w:rsidR="00000000" w:rsidRPr="00000000">
        <w:rPr>
          <w:rFonts w:ascii="Calibri" w:cs="Calibri" w:eastAsia="Calibri" w:hAnsi="Calibri"/>
          <w:sz w:val="24"/>
          <w:szCs w:val="24"/>
          <w:rtl w:val="0"/>
        </w:rPr>
        <w:t xml:space="preserve">N° 13, </w:t>
      </w:r>
      <w:hyperlink r:id="rId8">
        <w:r w:rsidDel="00000000" w:rsidR="00000000" w:rsidRPr="00000000">
          <w:rPr>
            <w:rFonts w:ascii="Calibri" w:cs="Calibri" w:eastAsia="Calibri" w:hAnsi="Calibri"/>
            <w:color w:val="0563c1"/>
            <w:sz w:val="24"/>
            <w:szCs w:val="24"/>
            <w:u w:val="single"/>
            <w:rtl w:val="0"/>
          </w:rPr>
          <w:t xml:space="preserve">https://www.ceapedi.com.ar/otroslogos/Revistas/0013/01_INDICE_OTROS_LOGOS_2022.pdf</w:t>
        </w:r>
      </w:hyperlink>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GOFFARD, Nathalie (2019) </w:t>
      </w:r>
      <w:r w:rsidDel="00000000" w:rsidR="00000000" w:rsidRPr="00000000">
        <w:rPr>
          <w:rFonts w:ascii="Calibri" w:cs="Calibri" w:eastAsia="Calibri" w:hAnsi="Calibri"/>
          <w:i w:val="1"/>
          <w:sz w:val="24"/>
          <w:szCs w:val="24"/>
          <w:rtl w:val="0"/>
        </w:rPr>
        <w:t xml:space="preserve">Intramuros. Palimpsestos sobre arte y paisaje, </w:t>
      </w:r>
      <w:r w:rsidDel="00000000" w:rsidR="00000000" w:rsidRPr="00000000">
        <w:rPr>
          <w:rFonts w:ascii="Calibri" w:cs="Calibri" w:eastAsia="Calibri" w:hAnsi="Calibri"/>
          <w:sz w:val="24"/>
          <w:szCs w:val="24"/>
          <w:rtl w:val="0"/>
        </w:rPr>
        <w:t xml:space="preserve">Metales pesados.</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MELENDO, María José (2024). “El territorio como paisaje. Algunas lecturas sobre una artista que piensa al presente”. En Revista CUAD, Fundación cultural Patagonia, Febrero </w:t>
      </w:r>
      <w:r w:rsidDel="00000000" w:rsidR="00000000" w:rsidRPr="00000000">
        <w:rPr>
          <w:rFonts w:ascii="Calibri" w:cs="Calibri" w:eastAsia="Calibri" w:hAnsi="Calibri"/>
          <w:sz w:val="24"/>
          <w:szCs w:val="24"/>
          <w:u w:val="single"/>
          <w:rtl w:val="0"/>
        </w:rPr>
        <w:t xml:space="preserve">https://revistacuad.com.ar/miradas/miradas/el-territorio-como-paisaje/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ROGER, Alain (2007). </w:t>
      </w:r>
      <w:r w:rsidDel="00000000" w:rsidR="00000000" w:rsidRPr="00000000">
        <w:rPr>
          <w:rFonts w:ascii="Calibri" w:cs="Calibri" w:eastAsia="Calibri" w:hAnsi="Calibri"/>
          <w:i w:val="1"/>
          <w:sz w:val="24"/>
          <w:szCs w:val="24"/>
          <w:rtl w:val="0"/>
        </w:rPr>
        <w:t xml:space="preserve">Breve tratado del paisaje</w:t>
      </w:r>
      <w:r w:rsidDel="00000000" w:rsidR="00000000" w:rsidRPr="00000000">
        <w:rPr>
          <w:rFonts w:ascii="Calibri" w:cs="Calibri" w:eastAsia="Calibri" w:hAnsi="Calibri"/>
          <w:sz w:val="24"/>
          <w:szCs w:val="24"/>
          <w:rtl w:val="0"/>
        </w:rPr>
        <w:t xml:space="preserve">. Madrid: Biblioteca nueva.</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595959"/>
    </w:rPr>
  </w:style>
  <w:style w:type="paragraph" w:styleId="Title">
    <w:name w:val="Title"/>
    <w:basedOn w:val="Normal"/>
    <w:next w:val="Normal"/>
    <w:pPr>
      <w:spacing w:after="80" w:line="240" w:lineRule="auto"/>
    </w:pPr>
    <w:rPr>
      <w:rFonts w:ascii="Calibri" w:cs="Calibri" w:eastAsia="Calibri" w:hAnsi="Calibri"/>
      <w:color w:val="000000"/>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4D02B9"/>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ar"/>
    <w:uiPriority w:val="9"/>
    <w:semiHidden w:val="1"/>
    <w:unhideWhenUsed w:val="1"/>
    <w:qFormat w:val="1"/>
    <w:rsid w:val="004D02B9"/>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4D02B9"/>
    <w:pPr>
      <w:keepNext w:val="1"/>
      <w:keepLines w:val="1"/>
      <w:spacing w:after="80" w:before="160"/>
      <w:outlineLvl w:val="2"/>
    </w:pPr>
    <w:rPr>
      <w:rFonts w:asciiTheme="minorHAnsi" w:cstheme="majorBidi" w:eastAsiaTheme="majorEastAsia" w:hAnsiTheme="minorHAnsi"/>
      <w:color w:val="2f5496" w:themeColor="accent1" w:themeShade="0000BF"/>
      <w:sz w:val="28"/>
      <w:szCs w:val="28"/>
    </w:rPr>
  </w:style>
  <w:style w:type="paragraph" w:styleId="Ttulo4">
    <w:name w:val="heading 4"/>
    <w:basedOn w:val="Normal"/>
    <w:next w:val="Normal"/>
    <w:link w:val="Ttulo4Car"/>
    <w:uiPriority w:val="9"/>
    <w:semiHidden w:val="1"/>
    <w:unhideWhenUsed w:val="1"/>
    <w:qFormat w:val="1"/>
    <w:rsid w:val="004D02B9"/>
    <w:pPr>
      <w:keepNext w:val="1"/>
      <w:keepLines w:val="1"/>
      <w:spacing w:after="40" w:before="80"/>
      <w:outlineLvl w:val="3"/>
    </w:pPr>
    <w:rPr>
      <w:rFonts w:asciiTheme="minorHAnsi" w:cstheme="majorBidi" w:eastAsiaTheme="majorEastAsia" w:hAnsiTheme="minorHAnsi"/>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4D02B9"/>
    <w:pPr>
      <w:keepNext w:val="1"/>
      <w:keepLines w:val="1"/>
      <w:spacing w:after="40" w:before="80"/>
      <w:outlineLvl w:val="4"/>
    </w:pPr>
    <w:rPr>
      <w:rFonts w:asciiTheme="minorHAnsi" w:cstheme="majorBidi" w:eastAsiaTheme="majorEastAsia" w:hAnsiTheme="minorHAnsi"/>
      <w:color w:val="2f5496" w:themeColor="accent1" w:themeShade="0000BF"/>
    </w:rPr>
  </w:style>
  <w:style w:type="paragraph" w:styleId="Ttulo6">
    <w:name w:val="heading 6"/>
    <w:basedOn w:val="Normal"/>
    <w:next w:val="Normal"/>
    <w:link w:val="Ttulo6Car"/>
    <w:uiPriority w:val="9"/>
    <w:semiHidden w:val="1"/>
    <w:unhideWhenUsed w:val="1"/>
    <w:qFormat w:val="1"/>
    <w:rsid w:val="004D02B9"/>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4D02B9"/>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Ttulo8">
    <w:name w:val="heading 8"/>
    <w:basedOn w:val="Normal"/>
    <w:next w:val="Normal"/>
    <w:link w:val="Ttulo8Car"/>
    <w:uiPriority w:val="9"/>
    <w:semiHidden w:val="1"/>
    <w:unhideWhenUsed w:val="1"/>
    <w:qFormat w:val="1"/>
    <w:rsid w:val="004D02B9"/>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D02B9"/>
    <w:pPr>
      <w:keepNext w:val="1"/>
      <w:keepLines w:val="1"/>
      <w:spacing w:after="0"/>
      <w:outlineLvl w:val="8"/>
    </w:pPr>
    <w:rPr>
      <w:rFonts w:asciiTheme="minorHAnsi" w:cstheme="majorBidi" w:eastAsiaTheme="majorEastAsia" w:hAnsiTheme="minorHAnsi"/>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D02B9"/>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4D02B9"/>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4D02B9"/>
    <w:rPr>
      <w:rFonts w:asciiTheme="minorHAnsi" w:cstheme="majorBidi" w:eastAsiaTheme="majorEastAsia" w:hAnsiTheme="minorHAnsi"/>
      <w:color w:val="2f5496" w:themeColor="accent1" w:themeShade="0000BF"/>
      <w:sz w:val="28"/>
      <w:szCs w:val="28"/>
    </w:rPr>
  </w:style>
  <w:style w:type="character" w:styleId="Ttulo4Car" w:customStyle="1">
    <w:name w:val="Título 4 Car"/>
    <w:basedOn w:val="Fuentedeprrafopredeter"/>
    <w:link w:val="Ttulo4"/>
    <w:uiPriority w:val="9"/>
    <w:semiHidden w:val="1"/>
    <w:rsid w:val="004D02B9"/>
    <w:rPr>
      <w:rFonts w:asciiTheme="minorHAnsi" w:cstheme="majorBidi" w:eastAsiaTheme="majorEastAsia" w:hAnsiTheme="minorHAnsi"/>
      <w:i w:val="1"/>
      <w:iCs w:val="1"/>
      <w:color w:val="2f5496" w:themeColor="accent1" w:themeShade="0000BF"/>
    </w:rPr>
  </w:style>
  <w:style w:type="character" w:styleId="Ttulo5Car" w:customStyle="1">
    <w:name w:val="Título 5 Car"/>
    <w:basedOn w:val="Fuentedeprrafopredeter"/>
    <w:link w:val="Ttulo5"/>
    <w:uiPriority w:val="9"/>
    <w:semiHidden w:val="1"/>
    <w:rsid w:val="004D02B9"/>
    <w:rPr>
      <w:rFonts w:asciiTheme="minorHAnsi" w:cstheme="majorBidi" w:eastAsiaTheme="majorEastAsia" w:hAnsiTheme="minorHAnsi"/>
      <w:color w:val="2f5496" w:themeColor="accent1" w:themeShade="0000BF"/>
    </w:rPr>
  </w:style>
  <w:style w:type="character" w:styleId="Ttulo6Car" w:customStyle="1">
    <w:name w:val="Título 6 Car"/>
    <w:basedOn w:val="Fuentedeprrafopredeter"/>
    <w:link w:val="Ttulo6"/>
    <w:uiPriority w:val="9"/>
    <w:semiHidden w:val="1"/>
    <w:rsid w:val="004D02B9"/>
    <w:rPr>
      <w:rFonts w:asciiTheme="minorHAnsi" w:cstheme="majorBidi" w:eastAsiaTheme="majorEastAsia" w:hAnsiTheme="minorHAnsi"/>
      <w:i w:val="1"/>
      <w:iCs w:val="1"/>
      <w:color w:val="595959" w:themeColor="text1" w:themeTint="0000A6"/>
    </w:rPr>
  </w:style>
  <w:style w:type="character" w:styleId="Ttulo7Car" w:customStyle="1">
    <w:name w:val="Título 7 Car"/>
    <w:basedOn w:val="Fuentedeprrafopredeter"/>
    <w:link w:val="Ttulo7"/>
    <w:uiPriority w:val="9"/>
    <w:semiHidden w:val="1"/>
    <w:rsid w:val="004D02B9"/>
    <w:rPr>
      <w:rFonts w:asciiTheme="minorHAnsi" w:cstheme="majorBidi" w:eastAsiaTheme="majorEastAsia" w:hAnsiTheme="minorHAnsi"/>
      <w:color w:val="595959" w:themeColor="text1" w:themeTint="0000A6"/>
    </w:rPr>
  </w:style>
  <w:style w:type="character" w:styleId="Ttulo8Car" w:customStyle="1">
    <w:name w:val="Título 8 Car"/>
    <w:basedOn w:val="Fuentedeprrafopredeter"/>
    <w:link w:val="Ttulo8"/>
    <w:uiPriority w:val="9"/>
    <w:semiHidden w:val="1"/>
    <w:rsid w:val="004D02B9"/>
    <w:rPr>
      <w:rFonts w:asciiTheme="minorHAnsi" w:cstheme="majorBidi" w:eastAsiaTheme="majorEastAsia" w:hAnsiTheme="minorHAnsi"/>
      <w:i w:val="1"/>
      <w:iCs w:val="1"/>
      <w:color w:val="272727" w:themeColor="text1" w:themeTint="0000D8"/>
    </w:rPr>
  </w:style>
  <w:style w:type="character" w:styleId="Ttulo9Car" w:customStyle="1">
    <w:name w:val="Título 9 Car"/>
    <w:basedOn w:val="Fuentedeprrafopredeter"/>
    <w:link w:val="Ttulo9"/>
    <w:uiPriority w:val="9"/>
    <w:semiHidden w:val="1"/>
    <w:rsid w:val="004D02B9"/>
    <w:rPr>
      <w:rFonts w:asciiTheme="minorHAnsi" w:cstheme="majorBidi" w:eastAsiaTheme="majorEastAsia" w:hAnsiTheme="minorHAnsi"/>
      <w:color w:val="272727" w:themeColor="text1" w:themeTint="0000D8"/>
    </w:rPr>
  </w:style>
  <w:style w:type="paragraph" w:styleId="Ttulo">
    <w:name w:val="Title"/>
    <w:basedOn w:val="Normal"/>
    <w:next w:val="Normal"/>
    <w:link w:val="TtuloCar"/>
    <w:uiPriority w:val="10"/>
    <w:qFormat w:val="1"/>
    <w:rsid w:val="004D02B9"/>
    <w:pPr>
      <w:spacing w:after="80" w:line="240" w:lineRule="auto"/>
      <w:contextualSpacing w:val="1"/>
    </w:pPr>
    <w:rPr>
      <w:rFonts w:asciiTheme="majorHAnsi" w:cstheme="majorBidi" w:eastAsiaTheme="majorEastAsia" w:hAnsiTheme="majorHAnsi"/>
      <w:color w:val="auto"/>
      <w:spacing w:val="-10"/>
      <w:kern w:val="28"/>
      <w:sz w:val="56"/>
      <w:szCs w:val="56"/>
    </w:rPr>
  </w:style>
  <w:style w:type="character" w:styleId="TtuloCar" w:customStyle="1">
    <w:name w:val="Título Car"/>
    <w:basedOn w:val="Fuentedeprrafopredeter"/>
    <w:link w:val="Ttulo"/>
    <w:uiPriority w:val="10"/>
    <w:rsid w:val="004D02B9"/>
    <w:rPr>
      <w:rFonts w:asciiTheme="majorHAnsi" w:cstheme="majorBidi" w:eastAsiaTheme="majorEastAsia" w:hAnsiTheme="majorHAnsi"/>
      <w:color w:val="auto"/>
      <w:spacing w:val="-10"/>
      <w:kern w:val="28"/>
      <w:sz w:val="56"/>
      <w:szCs w:val="56"/>
    </w:rPr>
  </w:style>
  <w:style w:type="paragraph" w:styleId="Subttulo">
    <w:name w:val="Subtitle"/>
    <w:basedOn w:val="Normal"/>
    <w:next w:val="Normal"/>
    <w:link w:val="SubttuloCar"/>
    <w:uiPriority w:val="11"/>
    <w:qFormat w:val="1"/>
    <w:rsid w:val="004D02B9"/>
    <w:pPr>
      <w:numPr>
        <w:ilvl w:val="1"/>
      </w:numPr>
    </w:pPr>
    <w:rPr>
      <w:rFonts w:asciiTheme="minorHAnsi" w:cstheme="majorBidi" w:eastAsiaTheme="majorEastAsia" w:hAnsiTheme="minorHAnsi"/>
      <w:color w:val="595959" w:themeColor="text1" w:themeTint="0000A6"/>
      <w:spacing w:val="15"/>
      <w:sz w:val="28"/>
      <w:szCs w:val="28"/>
    </w:rPr>
  </w:style>
  <w:style w:type="character" w:styleId="SubttuloCar" w:customStyle="1">
    <w:name w:val="Subtítulo Car"/>
    <w:basedOn w:val="Fuentedeprrafopredeter"/>
    <w:link w:val="Subttulo"/>
    <w:uiPriority w:val="11"/>
    <w:rsid w:val="004D02B9"/>
    <w:rPr>
      <w:rFonts w:asciiTheme="minorHAnsi" w:cstheme="majorBidi" w:eastAsiaTheme="majorEastAsia" w:hAnsiTheme="minorHAnsi"/>
      <w:color w:val="595959" w:themeColor="text1" w:themeTint="0000A6"/>
      <w:spacing w:val="15"/>
      <w:sz w:val="28"/>
      <w:szCs w:val="28"/>
    </w:rPr>
  </w:style>
  <w:style w:type="paragraph" w:styleId="Cita">
    <w:name w:val="Quote"/>
    <w:basedOn w:val="Normal"/>
    <w:next w:val="Normal"/>
    <w:link w:val="CitaCar"/>
    <w:uiPriority w:val="29"/>
    <w:qFormat w:val="1"/>
    <w:rsid w:val="004D02B9"/>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D02B9"/>
    <w:rPr>
      <w:i w:val="1"/>
      <w:iCs w:val="1"/>
      <w:color w:val="404040" w:themeColor="text1" w:themeTint="0000BF"/>
    </w:rPr>
  </w:style>
  <w:style w:type="paragraph" w:styleId="Prrafodelista">
    <w:name w:val="List Paragraph"/>
    <w:basedOn w:val="Normal"/>
    <w:uiPriority w:val="34"/>
    <w:qFormat w:val="1"/>
    <w:rsid w:val="004D02B9"/>
    <w:pPr>
      <w:ind w:left="720"/>
      <w:contextualSpacing w:val="1"/>
    </w:pPr>
  </w:style>
  <w:style w:type="character" w:styleId="nfasisintenso">
    <w:name w:val="Intense Emphasis"/>
    <w:basedOn w:val="Fuentedeprrafopredeter"/>
    <w:uiPriority w:val="21"/>
    <w:qFormat w:val="1"/>
    <w:rsid w:val="004D02B9"/>
    <w:rPr>
      <w:i w:val="1"/>
      <w:iCs w:val="1"/>
      <w:color w:val="2f5496" w:themeColor="accent1" w:themeShade="0000BF"/>
    </w:rPr>
  </w:style>
  <w:style w:type="paragraph" w:styleId="Citadestacada">
    <w:name w:val="Intense Quote"/>
    <w:basedOn w:val="Normal"/>
    <w:next w:val="Normal"/>
    <w:link w:val="CitadestacadaCar"/>
    <w:uiPriority w:val="30"/>
    <w:qFormat w:val="1"/>
    <w:rsid w:val="004D02B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4D02B9"/>
    <w:rPr>
      <w:i w:val="1"/>
      <w:iCs w:val="1"/>
      <w:color w:val="2f5496" w:themeColor="accent1" w:themeShade="0000BF"/>
    </w:rPr>
  </w:style>
  <w:style w:type="character" w:styleId="Referenciaintensa">
    <w:name w:val="Intense Reference"/>
    <w:basedOn w:val="Fuentedeprrafopredeter"/>
    <w:uiPriority w:val="32"/>
    <w:qFormat w:val="1"/>
    <w:rsid w:val="004D02B9"/>
    <w:rPr>
      <w:b w:val="1"/>
      <w:bCs w:val="1"/>
      <w:smallCaps w:val="1"/>
      <w:color w:val="2f5496" w:themeColor="accent1" w:themeShade="0000BF"/>
      <w:spacing w:val="5"/>
    </w:rPr>
  </w:style>
  <w:style w:type="character" w:styleId="Hipervnculo">
    <w:name w:val="Hyperlink"/>
    <w:basedOn w:val="Fuentedeprrafopredeter"/>
    <w:uiPriority w:val="99"/>
    <w:unhideWhenUsed w:val="1"/>
    <w:rsid w:val="00417F3C"/>
    <w:rPr>
      <w:color w:val="0563c1" w:themeColor="hyperlink"/>
      <w:u w:val="single"/>
    </w:rPr>
  </w:style>
  <w:style w:type="character" w:styleId="Mencinsinresolver">
    <w:name w:val="Unresolved Mention"/>
    <w:basedOn w:val="Fuentedeprrafopredeter"/>
    <w:uiPriority w:val="99"/>
    <w:semiHidden w:val="1"/>
    <w:unhideWhenUsed w:val="1"/>
    <w:rsid w:val="00417F3C"/>
    <w:rPr>
      <w:color w:val="605e5c"/>
      <w:shd w:color="auto" w:fill="e1dfdd" w:val="clear"/>
    </w:rPr>
  </w:style>
  <w:style w:type="paragraph" w:styleId="NormalWeb">
    <w:name w:val="Normal (Web)"/>
    <w:basedOn w:val="Normal"/>
    <w:uiPriority w:val="99"/>
    <w:semiHidden w:val="1"/>
    <w:unhideWhenUsed w:val="1"/>
    <w:rsid w:val="002E50D6"/>
    <w:pPr>
      <w:spacing w:after="100" w:afterAutospacing="1" w:before="100" w:beforeAutospacing="1" w:line="240" w:lineRule="auto"/>
    </w:pPr>
    <w:rPr>
      <w:rFonts w:ascii="Times New Roman" w:cs="Times New Roman" w:eastAsia="Times New Roman" w:hAnsi="Times New Roman"/>
      <w:color w:val="auto"/>
      <w:kern w:val="0"/>
      <w:sz w:val="24"/>
      <w:szCs w:val="24"/>
      <w:lang w:eastAsia="es-AR"/>
    </w:rPr>
  </w:style>
  <w:style w:type="paragraph" w:styleId="Subtitle">
    <w:name w:val="Subtitle"/>
    <w:basedOn w:val="Normal"/>
    <w:next w:val="Normal"/>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jmelendo@unrn.edu.ar" TargetMode="External"/><Relationship Id="rId8" Type="http://schemas.openxmlformats.org/officeDocument/2006/relationships/hyperlink" Target="https://www.ceapedi.com.ar/otroslogos/Revistas/0013/01_INDICE_OTROS_LOGOS_20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3GjzwkqT0iW7dVOJSueSaq1oeQ==">CgMxLjA4AHIhMW92T19XSWhLcS11ZHlfTGdTOF9fQVlpcTB2THRkTHdX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2025-06-06T11:43:00Z</dcterms:created>
  <dc:creator>María José Melendo</dc:creator>
</cp:coreProperties>
</file>