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6979EE0" w14:textId="03FF8BEC" w:rsidR="00F430A3" w:rsidRPr="0038772C" w:rsidRDefault="0038772C" w:rsidP="0038772C">
      <w:pPr>
        <w:pBdr>
          <w:top w:val="single" w:sz="4" w:space="1" w:color="auto"/>
          <w:left w:val="single" w:sz="4" w:space="4" w:color="auto"/>
          <w:bottom w:val="single" w:sz="4" w:space="1" w:color="auto"/>
          <w:right w:val="single" w:sz="4" w:space="4" w:color="auto"/>
        </w:pBdr>
        <w:rPr>
          <w:sz w:val="24"/>
          <w:szCs w:val="24"/>
        </w:rPr>
      </w:pPr>
      <w:r w:rsidRPr="0038772C">
        <w:rPr>
          <w:sz w:val="24"/>
          <w:szCs w:val="24"/>
        </w:rPr>
        <w:t xml:space="preserve">Participación de Laura </w:t>
      </w:r>
      <w:proofErr w:type="spellStart"/>
      <w:r w:rsidRPr="0038772C">
        <w:rPr>
          <w:sz w:val="24"/>
          <w:szCs w:val="24"/>
        </w:rPr>
        <w:t>Kropff</w:t>
      </w:r>
      <w:proofErr w:type="spellEnd"/>
      <w:r w:rsidRPr="0038772C">
        <w:rPr>
          <w:sz w:val="24"/>
          <w:szCs w:val="24"/>
        </w:rPr>
        <w:t xml:space="preserve"> en la </w:t>
      </w:r>
      <w:r w:rsidRPr="0038772C">
        <w:rPr>
          <w:sz w:val="24"/>
          <w:szCs w:val="24"/>
        </w:rPr>
        <w:t xml:space="preserve">Conferencia “Genocidio contra el Pueblo Mapuche ¿Cómo traducir una demanda histórica, sociocultural y política en una demanda judicial?” Compartida con Enrique Mases, Pilar Pérez, Juan Manuel Salgado y Diego </w:t>
      </w:r>
      <w:proofErr w:type="spellStart"/>
      <w:r w:rsidRPr="0038772C">
        <w:rPr>
          <w:sz w:val="24"/>
          <w:szCs w:val="24"/>
        </w:rPr>
        <w:t>Vigay</w:t>
      </w:r>
      <w:proofErr w:type="spellEnd"/>
      <w:r w:rsidRPr="0038772C">
        <w:rPr>
          <w:sz w:val="24"/>
          <w:szCs w:val="24"/>
        </w:rPr>
        <w:t xml:space="preserve">. Organizada por el Observatorio de Derechos Humanos de los Pueblos Indígenas con la participación de la Confederación Mapuche de Neuquén, la Coordinadora del Parlamento Mapuche Tehuelche de Río Negro y la Organización Identidad Territorial </w:t>
      </w:r>
      <w:proofErr w:type="spellStart"/>
      <w:r w:rsidRPr="0038772C">
        <w:rPr>
          <w:sz w:val="24"/>
          <w:szCs w:val="24"/>
        </w:rPr>
        <w:t>Malalweche</w:t>
      </w:r>
      <w:proofErr w:type="spellEnd"/>
      <w:r w:rsidRPr="0038772C">
        <w:rPr>
          <w:sz w:val="24"/>
          <w:szCs w:val="24"/>
        </w:rPr>
        <w:t xml:space="preserve"> de Mendoza. Universidad Nacional del Comahue, Neuquén. Ver en: </w:t>
      </w:r>
      <w:hyperlink r:id="rId4" w:history="1">
        <w:r w:rsidRPr="0038772C">
          <w:rPr>
            <w:rStyle w:val="Hipervnculo"/>
            <w:sz w:val="24"/>
            <w:szCs w:val="24"/>
          </w:rPr>
          <w:t>https://www.youtube.com/watch?v=b27V7penku4</w:t>
        </w:r>
      </w:hyperlink>
    </w:p>
    <w:p w14:paraId="0834BBCF" w14:textId="7F5C636E" w:rsidR="0038772C" w:rsidRPr="0038772C" w:rsidRDefault="0038772C" w:rsidP="0038772C">
      <w:pPr>
        <w:rPr>
          <w:sz w:val="24"/>
          <w:szCs w:val="24"/>
        </w:rPr>
      </w:pPr>
    </w:p>
    <w:p w14:paraId="35278E3F" w14:textId="77777777" w:rsidR="0038772C" w:rsidRPr="0038772C" w:rsidRDefault="0038772C" w:rsidP="0038772C">
      <w:pPr>
        <w:jc w:val="both"/>
        <w:rPr>
          <w:sz w:val="24"/>
          <w:szCs w:val="24"/>
        </w:rPr>
      </w:pPr>
      <w:r w:rsidRPr="0038772C">
        <w:rPr>
          <w:sz w:val="24"/>
          <w:szCs w:val="24"/>
        </w:rPr>
        <w:t xml:space="preserve">La exposición propone analizar el genocidio indígena en Patagonia no como un acontecimiento cerrado del pasado, sino como un proceso histórico de larga duración cuyos efectos continúan estructurando la sociedad contemporánea. Desde una perspectiva </w:t>
      </w:r>
      <w:proofErr w:type="spellStart"/>
      <w:r w:rsidRPr="0038772C">
        <w:rPr>
          <w:sz w:val="24"/>
          <w:szCs w:val="24"/>
        </w:rPr>
        <w:t>interseccional</w:t>
      </w:r>
      <w:proofErr w:type="spellEnd"/>
      <w:r w:rsidRPr="0038772C">
        <w:rPr>
          <w:sz w:val="24"/>
          <w:szCs w:val="24"/>
        </w:rPr>
        <w:t xml:space="preserve">, se sostiene que el genocidio produjo simultáneamente un orden </w:t>
      </w:r>
      <w:proofErr w:type="spellStart"/>
      <w:r w:rsidRPr="0038772C">
        <w:rPr>
          <w:sz w:val="24"/>
          <w:szCs w:val="24"/>
        </w:rPr>
        <w:t>racializado</w:t>
      </w:r>
      <w:proofErr w:type="spellEnd"/>
      <w:r w:rsidRPr="0038772C">
        <w:rPr>
          <w:sz w:val="24"/>
          <w:szCs w:val="24"/>
        </w:rPr>
        <w:t>, capitalista y patriarcal que reorganizó las relaciones sociales, económicas y territoriales según criterios de etnicidad, clase, género y edad.</w:t>
      </w:r>
    </w:p>
    <w:p w14:paraId="4988C6E0" w14:textId="77777777" w:rsidR="0038772C" w:rsidRPr="0038772C" w:rsidRDefault="0038772C" w:rsidP="0038772C">
      <w:pPr>
        <w:jc w:val="both"/>
        <w:rPr>
          <w:sz w:val="24"/>
          <w:szCs w:val="24"/>
        </w:rPr>
      </w:pPr>
    </w:p>
    <w:p w14:paraId="1F425DDD" w14:textId="77777777" w:rsidR="0038772C" w:rsidRPr="0038772C" w:rsidRDefault="0038772C" w:rsidP="0038772C">
      <w:pPr>
        <w:jc w:val="both"/>
        <w:rPr>
          <w:sz w:val="24"/>
          <w:szCs w:val="24"/>
        </w:rPr>
      </w:pPr>
      <w:r w:rsidRPr="0038772C">
        <w:rPr>
          <w:sz w:val="24"/>
          <w:szCs w:val="24"/>
        </w:rPr>
        <w:t>Se plantea que el hecho de que el genocidio no haya sido plenamente reconocido por el Estado permite que sus mecanismos sigan operando en el presente. Entre ellos se identifican la construcción persistente de amenazas internas, distintas formas de violencia material y la continuidad de violencias simbólicas que condicionan la vida cotidiana de amplios sectores de la población. Estas dinámicas se expresan particularmente en el acceso diferencial a la tierra y en los procesos históricos de desplazamiento de población indígena.</w:t>
      </w:r>
    </w:p>
    <w:p w14:paraId="50179CA2" w14:textId="77777777" w:rsidR="0038772C" w:rsidRPr="0038772C" w:rsidRDefault="0038772C" w:rsidP="0038772C">
      <w:pPr>
        <w:jc w:val="both"/>
        <w:rPr>
          <w:sz w:val="24"/>
          <w:szCs w:val="24"/>
        </w:rPr>
      </w:pPr>
    </w:p>
    <w:p w14:paraId="34E0D948" w14:textId="77777777" w:rsidR="0038772C" w:rsidRPr="0038772C" w:rsidRDefault="0038772C" w:rsidP="0038772C">
      <w:pPr>
        <w:jc w:val="both"/>
        <w:rPr>
          <w:sz w:val="24"/>
          <w:szCs w:val="24"/>
        </w:rPr>
      </w:pPr>
      <w:r w:rsidRPr="0038772C">
        <w:rPr>
          <w:sz w:val="24"/>
          <w:szCs w:val="24"/>
        </w:rPr>
        <w:t xml:space="preserve">En este marco se presentan dos investigaciones desarrolladas colectivamente por el GITAAC (Grupo de Investigación sobre Territorialidades, Alteridades y Acción Colectiva). La primera, publicada bajo el título </w:t>
      </w:r>
      <w:r w:rsidRPr="0038772C">
        <w:rPr>
          <w:i/>
          <w:iCs/>
          <w:sz w:val="24"/>
          <w:szCs w:val="24"/>
        </w:rPr>
        <w:t>La tierra de los otros. La dimensión territorial del genocidio indígena en Río Negro</w:t>
      </w:r>
      <w:r w:rsidRPr="0038772C">
        <w:rPr>
          <w:sz w:val="24"/>
          <w:szCs w:val="24"/>
        </w:rPr>
        <w:t>, reconstruye conflictos territoriales contemporáneos para analizar los mecanismos históricos de concentración de tierras en distintas regiones de la provincia. A partir de memorias locales y documentación de archivo, el trabajo muestra cómo desalojos, endeudamiento, reducción de campos y otras formas de presión territorial favorecieron la apropiación selectiva de tierras por parte de sectores no indígenas.</w:t>
      </w:r>
    </w:p>
    <w:p w14:paraId="30FC5E3F" w14:textId="77777777" w:rsidR="0038772C" w:rsidRPr="0038772C" w:rsidRDefault="0038772C" w:rsidP="0038772C">
      <w:pPr>
        <w:jc w:val="both"/>
        <w:rPr>
          <w:sz w:val="24"/>
          <w:szCs w:val="24"/>
        </w:rPr>
      </w:pPr>
    </w:p>
    <w:p w14:paraId="5CB86E7A" w14:textId="77777777" w:rsidR="0038772C" w:rsidRPr="0038772C" w:rsidRDefault="0038772C" w:rsidP="0038772C">
      <w:pPr>
        <w:jc w:val="both"/>
        <w:rPr>
          <w:sz w:val="24"/>
          <w:szCs w:val="24"/>
        </w:rPr>
      </w:pPr>
      <w:r w:rsidRPr="0038772C">
        <w:rPr>
          <w:sz w:val="24"/>
          <w:szCs w:val="24"/>
        </w:rPr>
        <w:t xml:space="preserve">La segunda investigación, próxima a publicarse bajo el título </w:t>
      </w:r>
      <w:r w:rsidRPr="0038772C">
        <w:rPr>
          <w:i/>
          <w:iCs/>
          <w:sz w:val="24"/>
          <w:szCs w:val="24"/>
        </w:rPr>
        <w:t>Movilidades obligadas. El desplazamiento a las ciudades como efecto del genocidio indígena</w:t>
      </w:r>
      <w:r w:rsidRPr="0038772C">
        <w:rPr>
          <w:sz w:val="24"/>
          <w:szCs w:val="24"/>
        </w:rPr>
        <w:t>, se centra en las trayectorias urbanas de población desplazada a lo largo del siglo XX y XXI. Allí se analizan las experiencias diferenciadas de hombres, mujeres, niños y niñas, con especial atención a las mujeres indígenas incorporadas al trabajo doméstico urbano. Se plantea que muchos de estos desplazamientos suelen interpretarse como decisiones individuales o proyectos personales, cuando en realidad responden a condiciones estructurales de expulsión territorial y subordinación económica.</w:t>
      </w:r>
    </w:p>
    <w:p w14:paraId="2A732520" w14:textId="77777777" w:rsidR="0038772C" w:rsidRPr="0038772C" w:rsidRDefault="0038772C" w:rsidP="0038772C">
      <w:pPr>
        <w:jc w:val="both"/>
        <w:rPr>
          <w:sz w:val="24"/>
          <w:szCs w:val="24"/>
        </w:rPr>
      </w:pPr>
    </w:p>
    <w:p w14:paraId="165F745D" w14:textId="1E63F832" w:rsidR="0038772C" w:rsidRPr="0038772C" w:rsidRDefault="0038772C" w:rsidP="0038772C">
      <w:pPr>
        <w:jc w:val="both"/>
        <w:rPr>
          <w:sz w:val="24"/>
          <w:szCs w:val="24"/>
        </w:rPr>
      </w:pPr>
      <w:r w:rsidRPr="0038772C">
        <w:rPr>
          <w:sz w:val="24"/>
          <w:szCs w:val="24"/>
        </w:rPr>
        <w:t xml:space="preserve">Finalmente, la exposición enfatiza la importancia de reconstruir relatos colectivos capaces de vincular las experiencias individuales con procesos históricos más amplios. Desde esta perspectiva, el reconocimiento de la dimensión territorial, subjetiva y social del daño genocida aparece como una condición necesaria para pensar debates contemporáneos sobre memoria, desigualdad y posibles formas de reparación en una sociedad caracterizada como </w:t>
      </w:r>
      <w:proofErr w:type="spellStart"/>
      <w:r w:rsidRPr="0038772C">
        <w:rPr>
          <w:sz w:val="24"/>
          <w:szCs w:val="24"/>
        </w:rPr>
        <w:t>postgenocida</w:t>
      </w:r>
      <w:proofErr w:type="spellEnd"/>
    </w:p>
    <w:sectPr w:rsidR="0038772C" w:rsidRPr="0038772C">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30A3"/>
    <w:rsid w:val="001C5B57"/>
    <w:rsid w:val="0034505A"/>
    <w:rsid w:val="0038772C"/>
    <w:rsid w:val="00A433D9"/>
    <w:rsid w:val="00F430A3"/>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1A1EE8"/>
  <w15:chartTrackingRefBased/>
  <w15:docId w15:val="{D131606F-53EB-479D-91E6-E3A96EF16D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A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430A3"/>
    <w:pPr>
      <w:widowControl w:val="0"/>
      <w:suppressAutoHyphens/>
      <w:spacing w:after="0" w:line="240" w:lineRule="auto"/>
    </w:pPr>
    <w:rPr>
      <w:rFonts w:ascii="Times New Roman" w:eastAsia="Times New Roman" w:hAnsi="Times New Roman" w:cs="Times New Roman"/>
      <w:sz w:val="20"/>
      <w:szCs w:val="20"/>
      <w:lang w:eastAsia="zh-CN"/>
    </w:rPr>
  </w:style>
  <w:style w:type="paragraph" w:styleId="Ttulo1">
    <w:name w:val="heading 1"/>
    <w:basedOn w:val="Normal"/>
    <w:link w:val="Ttulo1Car"/>
    <w:uiPriority w:val="9"/>
    <w:qFormat/>
    <w:rsid w:val="00A433D9"/>
    <w:pPr>
      <w:widowControl/>
      <w:suppressAutoHyphens w:val="0"/>
      <w:spacing w:before="100" w:beforeAutospacing="1" w:after="100" w:afterAutospacing="1"/>
      <w:outlineLvl w:val="0"/>
    </w:pPr>
    <w:rPr>
      <w:b/>
      <w:bCs/>
      <w:kern w:val="36"/>
      <w:sz w:val="48"/>
      <w:szCs w:val="48"/>
      <w:lang w:eastAsia="es-AR"/>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34505A"/>
    <w:rPr>
      <w:color w:val="0563C1" w:themeColor="hyperlink"/>
      <w:u w:val="single"/>
    </w:rPr>
  </w:style>
  <w:style w:type="character" w:styleId="Mencinsinresolver">
    <w:name w:val="Unresolved Mention"/>
    <w:basedOn w:val="Fuentedeprrafopredeter"/>
    <w:uiPriority w:val="99"/>
    <w:semiHidden/>
    <w:unhideWhenUsed/>
    <w:rsid w:val="0034505A"/>
    <w:rPr>
      <w:color w:val="605E5C"/>
      <w:shd w:val="clear" w:color="auto" w:fill="E1DFDD"/>
    </w:rPr>
  </w:style>
  <w:style w:type="character" w:customStyle="1" w:styleId="Ttulo1Car">
    <w:name w:val="Título 1 Car"/>
    <w:basedOn w:val="Fuentedeprrafopredeter"/>
    <w:link w:val="Ttulo1"/>
    <w:uiPriority w:val="9"/>
    <w:rsid w:val="00A433D9"/>
    <w:rPr>
      <w:rFonts w:ascii="Times New Roman" w:eastAsia="Times New Roman" w:hAnsi="Times New Roman" w:cs="Times New Roman"/>
      <w:b/>
      <w:bCs/>
      <w:kern w:val="36"/>
      <w:sz w:val="48"/>
      <w:szCs w:val="48"/>
      <w:lang w:eastAsia="es-AR"/>
    </w:rPr>
  </w:style>
  <w:style w:type="paragraph" w:styleId="NormalWeb">
    <w:name w:val="Normal (Web)"/>
    <w:basedOn w:val="Normal"/>
    <w:uiPriority w:val="99"/>
    <w:semiHidden/>
    <w:unhideWhenUsed/>
    <w:rsid w:val="00A433D9"/>
    <w:pPr>
      <w:widowControl/>
      <w:suppressAutoHyphens w:val="0"/>
      <w:spacing w:before="100" w:beforeAutospacing="1" w:after="100" w:afterAutospacing="1"/>
    </w:pPr>
    <w:rPr>
      <w:sz w:val="24"/>
      <w:szCs w:val="24"/>
      <w:lang w:eastAsia="es-AR"/>
    </w:rPr>
  </w:style>
  <w:style w:type="character" w:customStyle="1" w:styleId="whitespace-normal">
    <w:name w:val="whitespace-normal"/>
    <w:basedOn w:val="Fuentedeprrafopredeter"/>
    <w:rsid w:val="00A433D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3811315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youtube.com/watch?v=b27V7penku4"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538</Words>
  <Characters>2960</Characters>
  <Application>Microsoft Office Word</Application>
  <DocSecurity>0</DocSecurity>
  <Lines>24</Lines>
  <Paragraphs>6</Paragraphs>
  <ScaleCrop>false</ScaleCrop>
  <Company/>
  <LinksUpToDate>false</LinksUpToDate>
  <CharactersWithSpaces>3492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dc:creator>
  <cp:keywords/>
  <dc:description/>
  <cp:lastModifiedBy>Laura</cp:lastModifiedBy>
  <cp:revision>3</cp:revision>
  <dcterms:created xsi:type="dcterms:W3CDTF">2026-05-28T17:36:00Z</dcterms:created>
  <dcterms:modified xsi:type="dcterms:W3CDTF">2026-05-28T17:39:00Z</dcterms:modified>
</cp:coreProperties>
</file>