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08" w:rsidRPr="005F7EC4" w:rsidRDefault="00677450" w:rsidP="00731408">
      <w:pPr>
        <w:jc w:val="both"/>
        <w:rPr>
          <w:b/>
          <w:sz w:val="36"/>
          <w:szCs w:val="36"/>
          <w:lang w:val="en-US"/>
        </w:rPr>
      </w:pPr>
      <w:r w:rsidRPr="005F7EC4">
        <w:rPr>
          <w:b/>
          <w:sz w:val="36"/>
          <w:szCs w:val="36"/>
          <w:lang w:val="en-US"/>
        </w:rPr>
        <w:t>S2 Methodological supplement</w:t>
      </w:r>
      <w:r w:rsidR="00731408" w:rsidRPr="005F7EC4">
        <w:rPr>
          <w:b/>
          <w:sz w:val="36"/>
          <w:szCs w:val="36"/>
          <w:lang w:val="en-US"/>
        </w:rPr>
        <w:t>: Robustness of the main findings</w:t>
      </w:r>
    </w:p>
    <w:p w:rsidR="00731408" w:rsidRPr="005F7EC4" w:rsidRDefault="00731408" w:rsidP="00731408">
      <w:pPr>
        <w:jc w:val="both"/>
        <w:rPr>
          <w:b/>
          <w:sz w:val="32"/>
          <w:szCs w:val="32"/>
          <w:lang w:val="en-US"/>
        </w:rPr>
      </w:pPr>
      <w:r w:rsidRPr="005F7EC4">
        <w:rPr>
          <w:b/>
          <w:sz w:val="32"/>
          <w:szCs w:val="32"/>
          <w:lang w:val="en-US"/>
        </w:rPr>
        <w:t>Sensitivity analysis: changing the request used for the search</w:t>
      </w:r>
    </w:p>
    <w:p w:rsidR="00731408" w:rsidRDefault="00731408" w:rsidP="00731408">
      <w:pPr>
        <w:pStyle w:val="NormalWeb"/>
        <w:spacing w:line="276" w:lineRule="auto"/>
        <w:ind w:firstLine="720"/>
        <w:jc w:val="both"/>
        <w:rPr>
          <w:rFonts w:ascii="Arial" w:hAnsi="Arial"/>
          <w:color w:val="000000"/>
          <w:lang w:val="en-US"/>
        </w:rPr>
      </w:pPr>
      <w:r>
        <w:rPr>
          <w:rFonts w:ascii="Arial" w:hAnsi="Arial"/>
          <w:color w:val="000000"/>
          <w:lang w:val="en-US"/>
        </w:rPr>
        <w:t xml:space="preserve">To test the robustness of our findings, we have performed the same analysis (bibliographic coupling and PCA) on articles gathered using a simpler query on Web of Science. Instead of the complex query used by Arora et al. </w:t>
      </w:r>
      <w:r w:rsidR="00677450">
        <w:rPr>
          <w:rFonts w:ascii="Arial" w:hAnsi="Arial"/>
          <w:color w:val="000000"/>
          <w:lang w:val="en-US"/>
        </w:rPr>
        <w:fldChar w:fldCharType="begin" w:fldLock="1"/>
      </w:r>
      <w:r w:rsidR="005F7EC4">
        <w:rPr>
          <w:rFonts w:ascii="Arial" w:hAnsi="Arial"/>
          <w:color w:val="000000"/>
          <w:lang w:val="en-US"/>
        </w:rPr>
        <w:instrText>ADDIN CSL_CITATION { "citationItems" : [ { "id" : "ITEM-1", "itemData" : { "DOI" : "10.1007/s11192-012-0903-6", "ISBN" : "1119201209", "ISSN" : "0138-9130", "author" : [ { "dropping-particle" : "", "family" : "Arora", "given" : "Sanjay K.", "non-dropping-particle" : "", "parse-names" : false, "suffix" : "" }, { "dropping-particle" : "", "family" : "Porter", "given" : "Alan L.", "non-dropping-particle" : "", "parse-names" : false, "suffix" : "" }, { "dropping-particle" : "", "family" : "Youtie", "given" : "Jan", "non-dropping-particle" : "", "parse-names" : false, "suffix" : "" }, { "dropping-particle" : "", "family" : "Shapira", "given" : "Philip", "non-dropping-particle" : "", "parse-names" : false, "suffix" : "" } ], "container-title" : "Scientometrics", "id" : "ITEM-1", "issue" : "1", "issued" : { "date-parts" : [ [ "2013" ] ] }, "page" : "351-370", "title" : "Capturing new developments in an emerging technology: an updated search strategy for identifying nanotechnology research outputs", "type" : "article-journal", "volume" : "95" }, "uris" : [ "http://www.mendeley.com/documents/?uuid=a7b98367-5494-4de8-987c-deaf3a5c8327" ] } ], "mendeley" : { "formattedCitation" : "(1)", "plainTextFormattedCitation" : "(1)", "previouslyFormattedCitation" : "(1)" }, "properties" : { "noteIndex" : 0 }, "schema" : "https://github.com/citation-style-language/schema/raw/master/csl-citation.json" }</w:instrText>
      </w:r>
      <w:r w:rsidR="00677450">
        <w:rPr>
          <w:rFonts w:ascii="Arial" w:hAnsi="Arial"/>
          <w:color w:val="000000"/>
          <w:lang w:val="en-US"/>
        </w:rPr>
        <w:fldChar w:fldCharType="separate"/>
      </w:r>
      <w:r w:rsidR="00677450" w:rsidRPr="00677450">
        <w:rPr>
          <w:rFonts w:ascii="Arial" w:hAnsi="Arial"/>
          <w:noProof/>
          <w:color w:val="000000"/>
          <w:lang w:val="en-US"/>
        </w:rPr>
        <w:t>(1)</w:t>
      </w:r>
      <w:r w:rsidR="00677450">
        <w:rPr>
          <w:rFonts w:ascii="Arial" w:hAnsi="Arial"/>
          <w:color w:val="000000"/>
          <w:lang w:val="en-US"/>
        </w:rPr>
        <w:fldChar w:fldCharType="end"/>
      </w:r>
      <w:r>
        <w:rPr>
          <w:rFonts w:ascii="Arial" w:hAnsi="Arial"/>
          <w:color w:val="000000"/>
          <w:lang w:val="en-US"/>
        </w:rPr>
        <w:t xml:space="preserve">, we searched </w:t>
      </w:r>
      <w:proofErr w:type="spellStart"/>
      <w:r>
        <w:rPr>
          <w:rFonts w:ascii="Arial" w:hAnsi="Arial"/>
          <w:color w:val="000000"/>
          <w:lang w:val="en-US"/>
        </w:rPr>
        <w:t>nanoscience</w:t>
      </w:r>
      <w:proofErr w:type="spellEnd"/>
      <w:r>
        <w:rPr>
          <w:rFonts w:ascii="Arial" w:hAnsi="Arial"/>
          <w:color w:val="000000"/>
          <w:lang w:val="en-US"/>
        </w:rPr>
        <w:t xml:space="preserve"> records through “TS=</w:t>
      </w:r>
      <w:proofErr w:type="spellStart"/>
      <w:r>
        <w:rPr>
          <w:rFonts w:ascii="Arial" w:hAnsi="Arial"/>
          <w:color w:val="000000"/>
          <w:lang w:val="en-US"/>
        </w:rPr>
        <w:t>nano</w:t>
      </w:r>
      <w:proofErr w:type="spellEnd"/>
      <w:r>
        <w:rPr>
          <w:rFonts w:ascii="Arial" w:hAnsi="Arial"/>
          <w:color w:val="000000"/>
          <w:lang w:val="en-US"/>
        </w:rPr>
        <w:t>*”, always</w:t>
      </w:r>
      <w:r>
        <w:rPr>
          <w:rFonts w:ascii="Arial" w:hAnsi="Arial"/>
          <w:color w:val="333333"/>
          <w:shd w:val="clear" w:color="auto" w:fill="F8F8F8"/>
          <w:lang w:val="en-US"/>
        </w:rPr>
        <w:t xml:space="preserve"> </w:t>
      </w:r>
      <w:r>
        <w:rPr>
          <w:rFonts w:ascii="Arial" w:hAnsi="Arial"/>
          <w:color w:val="000000"/>
          <w:lang w:val="en-US"/>
        </w:rPr>
        <w:t>limited to three years (2010-2012, search carried out in March 2015). This query gathers 257565 records, i.e. 24% less than the standard query. A PCA on the countries’ RCAs for the new subfields obtained with this query is shown in Figure MA2. A comparison with Fig. 1a shows that the overall structure is remarkably stable, with the first axis presenting the opposition between emerging and OECD countries, and former communist countries at the bottom.</w:t>
      </w:r>
    </w:p>
    <w:p w:rsidR="00731408" w:rsidRDefault="00731408" w:rsidP="00731408">
      <w:pPr>
        <w:pageBreakBefore/>
        <w:rPr>
          <w:b/>
          <w:lang w:val="en-US"/>
        </w:rPr>
      </w:pPr>
      <w:r>
        <w:rPr>
          <w:b/>
          <w:lang w:val="en-US"/>
        </w:rPr>
        <w:lastRenderedPageBreak/>
        <w:t xml:space="preserve">Figure </w:t>
      </w:r>
      <w:r w:rsidR="005F7EC4">
        <w:rPr>
          <w:b/>
          <w:lang w:val="en-US"/>
        </w:rPr>
        <w:t>S</w:t>
      </w:r>
      <w:r>
        <w:rPr>
          <w:b/>
          <w:lang w:val="en-US"/>
        </w:rPr>
        <w:t>2</w:t>
      </w:r>
    </w:p>
    <w:p w:rsidR="00731408" w:rsidRDefault="00731408" w:rsidP="00731408">
      <w:pPr>
        <w:ind w:left="708" w:hanging="708"/>
        <w:jc w:val="center"/>
      </w:pPr>
      <w:r>
        <w:rPr>
          <w:noProof/>
        </w:rPr>
        <w:drawing>
          <wp:inline distT="0" distB="0" distL="0" distR="0" wp14:anchorId="7836B3D1" wp14:editId="659D4545">
            <wp:extent cx="5958840" cy="5170170"/>
            <wp:effectExtent l="0" t="0" r="0" b="0"/>
            <wp:docPr id="4" name="Picture" descr="https://lh6.googleusercontent.com/KpdrB7zXysCq5sRnGFZq76lM2JH1OWNflwBhMjRKQUE2MsgItu_slMh6NzlMJt2H7qDuMkHiERkFzN8-JUn5U1aAspPxotfMiEBkxe1omGp2ychGFXyTWHB6vv3EGE5vk8OgPj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s://lh6.googleusercontent.com/KpdrB7zXysCq5sRnGFZq76lM2JH1OWNflwBhMjRKQUE2MsgItu_slMh6NzlMJt2H7qDuMkHiERkFzN8-JUn5U1aAspPxotfMiEBkxe1omGp2ychGFXyTWHB6vv3EGE5vk8OgPjRg"/>
                    <pic:cNvPicPr>
                      <a:picLocks noChangeAspect="1" noChangeArrowheads="1"/>
                    </pic:cNvPicPr>
                  </pic:nvPicPr>
                  <pic:blipFill>
                    <a:blip r:embed="rId5"/>
                    <a:srcRect/>
                    <a:stretch>
                      <a:fillRect/>
                    </a:stretch>
                  </pic:blipFill>
                  <pic:spPr bwMode="auto">
                    <a:xfrm>
                      <a:off x="0" y="0"/>
                      <a:ext cx="5958840" cy="5170170"/>
                    </a:xfrm>
                    <a:prstGeom prst="rect">
                      <a:avLst/>
                    </a:prstGeom>
                    <a:noFill/>
                    <a:ln w="9525">
                      <a:noFill/>
                      <a:miter lim="800000"/>
                      <a:headEnd/>
                      <a:tailEnd/>
                    </a:ln>
                  </pic:spPr>
                </pic:pic>
              </a:graphicData>
            </a:graphic>
          </wp:inline>
        </w:drawing>
      </w:r>
    </w:p>
    <w:p w:rsidR="00731408" w:rsidRDefault="00731408" w:rsidP="00731408">
      <w:pPr>
        <w:rPr>
          <w:i/>
          <w:sz w:val="20"/>
          <w:szCs w:val="20"/>
          <w:lang w:val="en-US"/>
        </w:rPr>
      </w:pPr>
      <w:r>
        <w:rPr>
          <w:b/>
          <w:i/>
          <w:lang w:val="en-US"/>
        </w:rPr>
        <w:t xml:space="preserve">Figure </w:t>
      </w:r>
      <w:r w:rsidR="005F7EC4">
        <w:rPr>
          <w:b/>
          <w:i/>
          <w:lang w:val="en-US"/>
        </w:rPr>
        <w:t>S</w:t>
      </w:r>
      <w:r>
        <w:rPr>
          <w:b/>
          <w:i/>
          <w:lang w:val="en-US"/>
        </w:rPr>
        <w:t xml:space="preserve">2: </w:t>
      </w:r>
      <w:r>
        <w:rPr>
          <w:i/>
          <w:sz w:val="20"/>
          <w:szCs w:val="20"/>
          <w:lang w:val="en-US"/>
        </w:rPr>
        <w:t>Sensitivity analysis: using a simpler search strategy. This figure shows the first two axis of the PCA analysis that determines the ‘</w:t>
      </w:r>
      <w:proofErr w:type="spellStart"/>
      <w:r>
        <w:rPr>
          <w:i/>
          <w:sz w:val="20"/>
          <w:szCs w:val="20"/>
          <w:lang w:val="en-US"/>
        </w:rPr>
        <w:t>nanoscape</w:t>
      </w:r>
      <w:proofErr w:type="spellEnd"/>
      <w:r>
        <w:rPr>
          <w:i/>
          <w:sz w:val="20"/>
          <w:szCs w:val="20"/>
          <w:lang w:val="en-US"/>
        </w:rPr>
        <w:t xml:space="preserve">’. Colors correspond to OECD membership (red: founding member; blue: present member; black: </w:t>
      </w:r>
      <w:proofErr w:type="spellStart"/>
      <w:r>
        <w:rPr>
          <w:i/>
          <w:sz w:val="20"/>
          <w:szCs w:val="20"/>
          <w:lang w:val="en-US"/>
        </w:rPr>
        <w:t>non member</w:t>
      </w:r>
      <w:proofErr w:type="spellEnd"/>
      <w:r>
        <w:rPr>
          <w:i/>
          <w:sz w:val="20"/>
          <w:szCs w:val="20"/>
          <w:lang w:val="en-US"/>
        </w:rPr>
        <w:t>).</w:t>
      </w:r>
    </w:p>
    <w:p w:rsidR="00731408" w:rsidRDefault="00731408" w:rsidP="00731408">
      <w:pPr>
        <w:rPr>
          <w:sz w:val="24"/>
          <w:szCs w:val="24"/>
          <w:lang w:val="en-US"/>
        </w:rPr>
      </w:pPr>
    </w:p>
    <w:p w:rsidR="00731408" w:rsidRPr="005F7EC4" w:rsidRDefault="00731408" w:rsidP="00731408">
      <w:pPr>
        <w:rPr>
          <w:b/>
          <w:sz w:val="32"/>
          <w:szCs w:val="32"/>
          <w:lang w:val="en-US"/>
        </w:rPr>
      </w:pPr>
      <w:r w:rsidRPr="005F7EC4">
        <w:rPr>
          <w:b/>
          <w:sz w:val="32"/>
          <w:szCs w:val="32"/>
          <w:lang w:val="en-US"/>
        </w:rPr>
        <w:t>Robustness analysis: changing the clustering level</w:t>
      </w:r>
    </w:p>
    <w:p w:rsidR="00731408" w:rsidRDefault="00731408" w:rsidP="00731408">
      <w:pPr>
        <w:jc w:val="both"/>
        <w:rPr>
          <w:sz w:val="24"/>
          <w:szCs w:val="24"/>
          <w:lang w:val="en-US"/>
        </w:rPr>
      </w:pPr>
      <w:r>
        <w:rPr>
          <w:sz w:val="24"/>
          <w:szCs w:val="24"/>
          <w:lang w:val="en-US"/>
        </w:rPr>
        <w:tab/>
        <w:t xml:space="preserve">There are several ways of computing communities from any network. Since our analysis crucially depends on how countries distribute their papers over the different categories, and therefore on the categories chosen, it is important to test whether the different country profiles defined above are robust when the subfields of nanoscience (the clusters) change. We show here that the international landscape derived above is robust even when changing in a major way the clustering. Figure </w:t>
      </w:r>
      <w:r>
        <w:rPr>
          <w:sz w:val="24"/>
          <w:szCs w:val="24"/>
          <w:lang w:val="en-US"/>
        </w:rPr>
        <w:lastRenderedPageBreak/>
        <w:t xml:space="preserve">MA3 shows the first two PCA dimensions for a much </w:t>
      </w:r>
      <w:proofErr w:type="gramStart"/>
      <w:r>
        <w:rPr>
          <w:sz w:val="24"/>
          <w:szCs w:val="24"/>
          <w:lang w:val="en-US"/>
        </w:rPr>
        <w:t>more fine</w:t>
      </w:r>
      <w:proofErr w:type="gramEnd"/>
      <w:r>
        <w:rPr>
          <w:sz w:val="24"/>
          <w:szCs w:val="24"/>
          <w:lang w:val="en-US"/>
        </w:rPr>
        <w:t xml:space="preserve"> grained clustering obtained by splitting the large clusters to obtain their inner structure, by optimizing the inner modularity inside each cluster. In practice, this means cutting all the links from the articles of a given (top) cluster, </w:t>
      </w:r>
      <w:proofErr w:type="spellStart"/>
      <w:r>
        <w:rPr>
          <w:sz w:val="24"/>
          <w:szCs w:val="24"/>
          <w:lang w:val="en-US"/>
        </w:rPr>
        <w:t>ie</w:t>
      </w:r>
      <w:proofErr w:type="spellEnd"/>
      <w:r>
        <w:rPr>
          <w:sz w:val="24"/>
          <w:szCs w:val="24"/>
          <w:lang w:val="en-US"/>
        </w:rPr>
        <w:t xml:space="preserve"> detach it from the rest of the network and use the same clustering method (modularity with the Louvain algorithm) on this subsystem, a technique known as ‘hierarchical clustering’ </w:t>
      </w:r>
      <w:r w:rsidR="005F7EC4">
        <w:rPr>
          <w:sz w:val="24"/>
          <w:szCs w:val="24"/>
          <w:lang w:val="en-US"/>
        </w:rPr>
        <w:fldChar w:fldCharType="begin" w:fldLock="1"/>
      </w:r>
      <w:r w:rsidR="004D12E2">
        <w:rPr>
          <w:sz w:val="24"/>
          <w:szCs w:val="24"/>
          <w:lang w:val="en-US"/>
        </w:rPr>
        <w:instrText>ADDIN CSL_CITATION { "citationItems" : [ { "id" : "ITEM-1", "itemData" : { "DOI" : "10.1073/pnas.0605965104", "ISSN" : "0027-8424", "abstract" : "Detecting community structure is fundamental for uncovering the links between structure and function in complex networks and for practical applications in many disciplines such as biology and sociology. A popular method now widely used relies on the optimization of a quantity called modularity, which is a quality index for a partition of a network into communities. We find that modularity optimization may fail to identify modules smaller than a scale which depends on the total size of the network and on the degree of interconnectedness of the modules, even in cases where modules are unambiguously defined. This finding is confirmed through several examples, both in artificial and in real social, biological, and technological networks, where we show that modularity optimization indeed does not resolve a large number of modules. A check of the modules obtained through modularity optimization is thus necessary, and we provide here key elements for the assessment of the reliability of this community detection method.", "author" : [ { "dropping-particle" : "", "family" : "Fortunato", "given" : "Santo", "non-dropping-particle" : "", "parse-names" : false, "suffix" : "" }, { "dropping-particle" : "", "family" : "Barthelemy", "given" : "Marc", "non-dropping-particle" : "", "parse-names" : false, "suffix" : "" } ], "container-title" : "Proceedings of the National Academy of Sciences of the United States of America", "id" : "ITEM-1", "issue" : "1", "issued" : { "date-parts" : [ [ "2007" ] ] }, "page" : "36-41", "publisher" : "NATL ACAD SCIENCES", "publisher-place" : "2101 CONSTITUTION AVE NW, WASHINGTON, DC 20418 USA", "title" : "Resolution limit in community detection", "type" : "article-journal", "volume" : "104" }, "uris" : [ "http://www.mendeley.com/documents/?uuid=219ee4b0-50b4-4c11-bb72-e7feb2013887" ] } ], "mendeley" : { "formattedCitation" : "(2)", "plainTextFormattedCitation" : "(2)", "previouslyFormattedCitation" : "(2)" }, "properties" : { "noteIndex" : 0 }, "schema" : "https://github.com/citation-style-language/schema/raw/master/csl-citation.json" }</w:instrText>
      </w:r>
      <w:r w:rsidR="005F7EC4">
        <w:rPr>
          <w:sz w:val="24"/>
          <w:szCs w:val="24"/>
          <w:lang w:val="en-US"/>
        </w:rPr>
        <w:fldChar w:fldCharType="separate"/>
      </w:r>
      <w:r w:rsidR="005F7EC4" w:rsidRPr="005F7EC4">
        <w:rPr>
          <w:noProof/>
          <w:sz w:val="24"/>
          <w:szCs w:val="24"/>
          <w:lang w:val="en-US"/>
        </w:rPr>
        <w:t>(2)</w:t>
      </w:r>
      <w:r w:rsidR="005F7EC4">
        <w:rPr>
          <w:sz w:val="24"/>
          <w:szCs w:val="24"/>
          <w:lang w:val="en-US"/>
        </w:rPr>
        <w:fldChar w:fldCharType="end"/>
      </w:r>
      <w:r>
        <w:rPr>
          <w:sz w:val="24"/>
          <w:szCs w:val="24"/>
          <w:lang w:val="en-US"/>
        </w:rPr>
        <w:t xml:space="preserve">. This leads to 307 more specific clusters containing more than 100 articles. Figure </w:t>
      </w:r>
      <w:r w:rsidR="005F7EC4">
        <w:rPr>
          <w:sz w:val="24"/>
          <w:szCs w:val="24"/>
          <w:lang w:val="en-US"/>
        </w:rPr>
        <w:t>S</w:t>
      </w:r>
      <w:r>
        <w:rPr>
          <w:sz w:val="24"/>
          <w:szCs w:val="24"/>
          <w:lang w:val="en-US"/>
        </w:rPr>
        <w:t>3 shows that, despite the tenfold increase in the number of subfields, the major groups are still present in the same regions of the graph: Rich countries on the top right, emergent countries in the top left, and eastern European in the bottom.</w:t>
      </w:r>
    </w:p>
    <w:p w:rsidR="00731408" w:rsidRDefault="00731408" w:rsidP="00731408">
      <w:pPr>
        <w:jc w:val="both"/>
        <w:rPr>
          <w:lang w:val="en-US"/>
        </w:rPr>
      </w:pPr>
      <w:r w:rsidRPr="005F7EC4">
        <w:rPr>
          <w:b/>
          <w:lang w:val="en-US"/>
        </w:rPr>
        <w:t xml:space="preserve">Figure </w:t>
      </w:r>
      <w:r w:rsidR="005F7EC4" w:rsidRPr="005F7EC4">
        <w:rPr>
          <w:b/>
          <w:lang w:val="en-US"/>
        </w:rPr>
        <w:t>S</w:t>
      </w:r>
      <w:r w:rsidRPr="005F7EC4">
        <w:rPr>
          <w:b/>
          <w:lang w:val="en-US"/>
        </w:rPr>
        <w:t>3: Sensitivity analysis: using a more fine grained clustering</w:t>
      </w:r>
      <w:r>
        <w:rPr>
          <w:lang w:val="en-US"/>
        </w:rPr>
        <w:t>.</w:t>
      </w:r>
    </w:p>
    <w:p w:rsidR="00731408" w:rsidRDefault="00731408" w:rsidP="00731408">
      <w:r>
        <w:rPr>
          <w:noProof/>
        </w:rPr>
        <w:lastRenderedPageBreak/>
        <w:drawing>
          <wp:inline distT="0" distB="0" distL="0" distR="0" wp14:anchorId="5D775AEE" wp14:editId="46E847C2">
            <wp:extent cx="5958840" cy="5958840"/>
            <wp:effectExtent l="0" t="0" r="0" b="0"/>
            <wp:docPr id="6" name="Picture" descr="countries_subtop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ountries_subtop_12.png"/>
                    <pic:cNvPicPr>
                      <a:picLocks noChangeAspect="1" noChangeArrowheads="1"/>
                    </pic:cNvPicPr>
                  </pic:nvPicPr>
                  <pic:blipFill>
                    <a:blip r:embed="rId6"/>
                    <a:srcRect/>
                    <a:stretch>
                      <a:fillRect/>
                    </a:stretch>
                  </pic:blipFill>
                  <pic:spPr bwMode="auto">
                    <a:xfrm>
                      <a:off x="0" y="0"/>
                      <a:ext cx="5958840" cy="5958840"/>
                    </a:xfrm>
                    <a:prstGeom prst="rect">
                      <a:avLst/>
                    </a:prstGeom>
                    <a:noFill/>
                    <a:ln w="9525">
                      <a:noFill/>
                      <a:miter lim="800000"/>
                      <a:headEnd/>
                      <a:tailEnd/>
                    </a:ln>
                  </pic:spPr>
                </pic:pic>
              </a:graphicData>
            </a:graphic>
          </wp:inline>
        </w:drawing>
      </w:r>
    </w:p>
    <w:p w:rsidR="008F4722" w:rsidRDefault="004D12E2">
      <w:pPr>
        <w:rPr>
          <w:b/>
          <w:sz w:val="32"/>
          <w:szCs w:val="32"/>
        </w:rPr>
      </w:pPr>
      <w:proofErr w:type="spellStart"/>
      <w:r w:rsidRPr="004D12E2">
        <w:rPr>
          <w:b/>
          <w:sz w:val="32"/>
          <w:szCs w:val="32"/>
        </w:rPr>
        <w:t>References</w:t>
      </w:r>
      <w:proofErr w:type="spellEnd"/>
    </w:p>
    <w:p w:rsidR="004D12E2" w:rsidRPr="004D12E2" w:rsidRDefault="004D12E2" w:rsidP="004D12E2">
      <w:pPr>
        <w:widowControl w:val="0"/>
        <w:autoSpaceDE w:val="0"/>
        <w:autoSpaceDN w:val="0"/>
        <w:adjustRightInd w:val="0"/>
        <w:spacing w:line="240" w:lineRule="auto"/>
        <w:ind w:left="640" w:hanging="640"/>
        <w:rPr>
          <w:noProof/>
          <w:sz w:val="32"/>
          <w:szCs w:val="24"/>
        </w:rPr>
      </w:pPr>
      <w:r>
        <w:rPr>
          <w:b/>
          <w:sz w:val="32"/>
          <w:szCs w:val="32"/>
        </w:rPr>
        <w:fldChar w:fldCharType="begin" w:fldLock="1"/>
      </w:r>
      <w:r>
        <w:rPr>
          <w:b/>
          <w:sz w:val="32"/>
          <w:szCs w:val="32"/>
        </w:rPr>
        <w:instrText xml:space="preserve">ADDIN Mendeley Bibliography CSL_BIBLIOGRAPHY </w:instrText>
      </w:r>
      <w:r>
        <w:rPr>
          <w:b/>
          <w:sz w:val="32"/>
          <w:szCs w:val="32"/>
        </w:rPr>
        <w:fldChar w:fldCharType="separate"/>
      </w:r>
      <w:r w:rsidRPr="004D12E2">
        <w:rPr>
          <w:noProof/>
          <w:sz w:val="32"/>
          <w:szCs w:val="24"/>
        </w:rPr>
        <w:t xml:space="preserve">1. </w:t>
      </w:r>
      <w:r w:rsidRPr="004D12E2">
        <w:rPr>
          <w:noProof/>
          <w:sz w:val="32"/>
          <w:szCs w:val="24"/>
        </w:rPr>
        <w:tab/>
        <w:t>Arora SK, Porter AL, Youtie J, Shapira P. Capturing new developments in an emerging technology: an updated search strategy for identifying nanotechnology research outputs. Scientometrics [Internet]. 2013;95(1):351–70. Available from: http://link.springer.com/10.1007/s11192-012-0903-6</w:t>
      </w:r>
    </w:p>
    <w:p w:rsidR="004D12E2" w:rsidRPr="004D12E2" w:rsidRDefault="004D12E2" w:rsidP="004D12E2">
      <w:pPr>
        <w:widowControl w:val="0"/>
        <w:autoSpaceDE w:val="0"/>
        <w:autoSpaceDN w:val="0"/>
        <w:adjustRightInd w:val="0"/>
        <w:spacing w:line="240" w:lineRule="auto"/>
        <w:ind w:left="640" w:hanging="640"/>
        <w:rPr>
          <w:noProof/>
          <w:sz w:val="32"/>
        </w:rPr>
      </w:pPr>
      <w:r w:rsidRPr="004D12E2">
        <w:rPr>
          <w:noProof/>
          <w:sz w:val="32"/>
          <w:szCs w:val="24"/>
        </w:rPr>
        <w:lastRenderedPageBreak/>
        <w:t xml:space="preserve">2. </w:t>
      </w:r>
      <w:r w:rsidRPr="004D12E2">
        <w:rPr>
          <w:noProof/>
          <w:sz w:val="32"/>
          <w:szCs w:val="24"/>
        </w:rPr>
        <w:tab/>
        <w:t xml:space="preserve">Fortunato S, Barthelemy M. Resolution limit in community detection. Proc Natl Acad Sci U S A. 2007;104(1):36–41. </w:t>
      </w:r>
    </w:p>
    <w:p w:rsidR="004D12E2" w:rsidRPr="004D12E2" w:rsidRDefault="004D12E2">
      <w:pPr>
        <w:rPr>
          <w:b/>
          <w:sz w:val="32"/>
          <w:szCs w:val="32"/>
        </w:rPr>
      </w:pPr>
      <w:r>
        <w:rPr>
          <w:b/>
          <w:sz w:val="32"/>
          <w:szCs w:val="32"/>
        </w:rPr>
        <w:fldChar w:fldCharType="end"/>
      </w:r>
      <w:bookmarkStart w:id="0" w:name="_GoBack"/>
      <w:bookmarkEnd w:id="0"/>
    </w:p>
    <w:sectPr w:rsidR="004D12E2" w:rsidRPr="004D12E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8"/>
    <w:rsid w:val="004D12E2"/>
    <w:rsid w:val="005F7EC4"/>
    <w:rsid w:val="00677450"/>
    <w:rsid w:val="00731408"/>
    <w:rsid w:val="008F4722"/>
    <w:rsid w:val="00C854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80D37-1BAF-408A-A122-961BFA8F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1408"/>
    <w:pPr>
      <w:suppressAutoHyphens/>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31408"/>
    <w:pPr>
      <w:spacing w:before="280" w:after="280" w:line="100" w:lineRule="atLeast"/>
    </w:pPr>
    <w:rPr>
      <w:rFonts w:ascii="Times New Roman" w:hAnsi="Times New Roman"/>
      <w:color w:val="00000A"/>
      <w:sz w:val="24"/>
      <w:szCs w:val="24"/>
    </w:rPr>
  </w:style>
  <w:style w:type="paragraph" w:styleId="Textodeglobo">
    <w:name w:val="Balloon Text"/>
    <w:basedOn w:val="Normal"/>
    <w:link w:val="TextodegloboCar"/>
    <w:uiPriority w:val="99"/>
    <w:semiHidden/>
    <w:unhideWhenUsed/>
    <w:rsid w:val="00731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408"/>
    <w:rPr>
      <w:rFonts w:ascii="Tahoma" w:eastAsia="Arial" w:hAnsi="Tahoma" w:cs="Tahoma"/>
      <w:color w:val="000000"/>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C6C5-EA2F-46C1-A912-2B9D0A58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Usuario</cp:lastModifiedBy>
  <cp:revision>4</cp:revision>
  <dcterms:created xsi:type="dcterms:W3CDTF">2016-07-11T21:43:00Z</dcterms:created>
  <dcterms:modified xsi:type="dcterms:W3CDTF">2016-07-11T21:55:00Z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lucianolevin@gmail.com@www.mendeley.com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http://www.zotero.org/styles/scientometrics</vt:lpwstr>
  </property>
  <property fmtid="{D5CDD505-2E9C-101B-9397-08002B2CF9AE}" pid="22" name="Mendeley Recent Style Name 8_1">
    <vt:lpwstr>Scientometrics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